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619" w:rsidRDefault="00972A17" w:rsidP="00D530E9">
      <w:pPr>
        <w:jc w:val="center"/>
        <w:rPr>
          <w:b/>
          <w:sz w:val="32"/>
        </w:rPr>
      </w:pPr>
      <w:bookmarkStart w:id="0" w:name="_GoBack"/>
      <w:bookmarkEnd w:id="0"/>
      <w:r>
        <w:rPr>
          <w:b/>
          <w:noProof/>
          <w:sz w:val="32"/>
        </w:rPr>
        <w:drawing>
          <wp:anchor distT="0" distB="0" distL="114300" distR="114300" simplePos="0" relativeHeight="251660288" behindDoc="0" locked="0" layoutInCell="1" allowOverlap="0">
            <wp:simplePos x="0" y="0"/>
            <wp:positionH relativeFrom="column">
              <wp:posOffset>-647700</wp:posOffset>
            </wp:positionH>
            <wp:positionV relativeFrom="line">
              <wp:posOffset>-592455</wp:posOffset>
            </wp:positionV>
            <wp:extent cx="2933065" cy="681355"/>
            <wp:effectExtent l="0" t="0" r="635" b="444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3065" cy="681355"/>
                    </a:xfrm>
                    <a:prstGeom prst="rect">
                      <a:avLst/>
                    </a:prstGeom>
                    <a:noFill/>
                  </pic:spPr>
                </pic:pic>
              </a:graphicData>
            </a:graphic>
            <wp14:sizeRelH relativeFrom="page">
              <wp14:pctWidth>0</wp14:pctWidth>
            </wp14:sizeRelH>
            <wp14:sizeRelV relativeFrom="page">
              <wp14:pctHeight>0</wp14:pctHeight>
            </wp14:sizeRelV>
          </wp:anchor>
        </w:drawing>
      </w:r>
    </w:p>
    <w:p w:rsidR="000E1AA6" w:rsidRPr="000E1AA6" w:rsidRDefault="00162619" w:rsidP="00162619">
      <w:pPr>
        <w:jc w:val="center"/>
      </w:pPr>
      <w:r w:rsidRPr="000E1AA6">
        <w:t xml:space="preserve">Law Center to Prevent Gun Violence </w:t>
      </w:r>
    </w:p>
    <w:p w:rsidR="00734B5C" w:rsidRPr="000E1AA6" w:rsidRDefault="00734B5C" w:rsidP="000E1AA6">
      <w:pPr>
        <w:jc w:val="center"/>
        <w:rPr>
          <w:b/>
          <w:sz w:val="26"/>
          <w:szCs w:val="26"/>
        </w:rPr>
      </w:pPr>
      <w:r w:rsidRPr="000E1AA6">
        <w:rPr>
          <w:b/>
          <w:sz w:val="26"/>
          <w:szCs w:val="26"/>
        </w:rPr>
        <w:t>Model Law to Ban Assault Weapons</w:t>
      </w:r>
      <w:r w:rsidR="003667D2" w:rsidRPr="000E1AA6">
        <w:rPr>
          <w:b/>
          <w:sz w:val="26"/>
          <w:szCs w:val="26"/>
        </w:rPr>
        <w:t xml:space="preserve"> and </w:t>
      </w:r>
      <w:r w:rsidR="009974F4" w:rsidRPr="000E1AA6">
        <w:rPr>
          <w:b/>
          <w:sz w:val="26"/>
          <w:szCs w:val="26"/>
        </w:rPr>
        <w:t>Large Capacity Ammunition Magazines</w:t>
      </w:r>
    </w:p>
    <w:p w:rsidR="000E1AA6" w:rsidRPr="000E1AA6" w:rsidRDefault="000E1AA6" w:rsidP="00162619">
      <w:pPr>
        <w:jc w:val="center"/>
      </w:pPr>
      <w:r w:rsidRPr="000E1AA6">
        <w:t>August 23, 2012</w:t>
      </w:r>
    </w:p>
    <w:p w:rsidR="00734B5C" w:rsidRDefault="00734B5C" w:rsidP="00734B5C">
      <w:pPr>
        <w:outlineLvl w:val="0"/>
        <w:rPr>
          <w:sz w:val="32"/>
        </w:rPr>
      </w:pPr>
    </w:p>
    <w:p w:rsidR="00734B5C" w:rsidRDefault="00BA5D4F" w:rsidP="00734B5C">
      <w:pPr>
        <w:outlineLvl w:val="0"/>
        <w:rPr>
          <w:sz w:val="22"/>
        </w:rPr>
      </w:pPr>
      <w:r>
        <w:rPr>
          <w:sz w:val="22"/>
        </w:rPr>
        <w:t xml:space="preserve">Law Center to Prevent Gun Violence </w:t>
      </w:r>
      <w:r w:rsidR="00734B5C">
        <w:rPr>
          <w:sz w:val="22"/>
        </w:rPr>
        <w:t>has developed a model assault weapon law that combines the best elements of assault weapon bans across the country, bringing together the strongest and most effective provisions into a single document.  Based on our review of existing laws, judicial decisions, policy research, studies, and other g</w:t>
      </w:r>
      <w:r>
        <w:rPr>
          <w:sz w:val="22"/>
        </w:rPr>
        <w:t xml:space="preserve">un violence prevention data, </w:t>
      </w:r>
      <w:r w:rsidR="003667D2">
        <w:rPr>
          <w:sz w:val="22"/>
        </w:rPr>
        <w:t xml:space="preserve">the Law Center </w:t>
      </w:r>
      <w:r w:rsidR="00734B5C">
        <w:rPr>
          <w:sz w:val="22"/>
        </w:rPr>
        <w:t>has created a comprehensive model to improve upon, and avoid the loopholes present in</w:t>
      </w:r>
      <w:r>
        <w:rPr>
          <w:sz w:val="22"/>
        </w:rPr>
        <w:t xml:space="preserve"> the expired federal law and</w:t>
      </w:r>
      <w:r w:rsidR="00734B5C">
        <w:rPr>
          <w:sz w:val="22"/>
        </w:rPr>
        <w:t xml:space="preserve"> </w:t>
      </w:r>
      <w:r>
        <w:rPr>
          <w:sz w:val="22"/>
        </w:rPr>
        <w:t xml:space="preserve">some state </w:t>
      </w:r>
      <w:r w:rsidR="00734B5C">
        <w:rPr>
          <w:sz w:val="22"/>
        </w:rPr>
        <w:t xml:space="preserve">assault weapon laws. </w:t>
      </w:r>
    </w:p>
    <w:p w:rsidR="00734B5C" w:rsidRDefault="00734B5C" w:rsidP="00734B5C">
      <w:pPr>
        <w:outlineLvl w:val="0"/>
        <w:rPr>
          <w:sz w:val="22"/>
        </w:rPr>
      </w:pPr>
    </w:p>
    <w:p w:rsidR="00734B5C" w:rsidRDefault="00734B5C" w:rsidP="00734B5C">
      <w:pPr>
        <w:outlineLvl w:val="0"/>
        <w:rPr>
          <w:sz w:val="22"/>
        </w:rPr>
      </w:pPr>
      <w:r>
        <w:rPr>
          <w:sz w:val="22"/>
        </w:rPr>
        <w:t xml:space="preserve">Model laws provide a starting point – a framework from which state or local legislation can be drafted, reviewed, debated, and ultimately adopted.  Every jurisdiction seeking to ban assault weapons – whether at the state or local level – must determine which provisions are politically viable and appropriate for its constituents.  </w:t>
      </w:r>
    </w:p>
    <w:p w:rsidR="00734B5C" w:rsidRDefault="00734B5C" w:rsidP="00734B5C">
      <w:pPr>
        <w:outlineLvl w:val="0"/>
        <w:rPr>
          <w:sz w:val="22"/>
        </w:rPr>
      </w:pPr>
    </w:p>
    <w:p w:rsidR="00734B5C" w:rsidRDefault="00734B5C" w:rsidP="00734B5C">
      <w:pPr>
        <w:outlineLvl w:val="0"/>
        <w:rPr>
          <w:sz w:val="22"/>
        </w:rPr>
      </w:pPr>
      <w:r>
        <w:rPr>
          <w:sz w:val="22"/>
        </w:rPr>
        <w:t>The p</w:t>
      </w:r>
      <w:r w:rsidR="00BA5D4F">
        <w:rPr>
          <w:sz w:val="22"/>
        </w:rPr>
        <w:t xml:space="preserve">rincipal elements of the </w:t>
      </w:r>
      <w:r w:rsidR="003667D2">
        <w:rPr>
          <w:sz w:val="22"/>
        </w:rPr>
        <w:t xml:space="preserve">Law Center </w:t>
      </w:r>
      <w:r>
        <w:rPr>
          <w:sz w:val="22"/>
        </w:rPr>
        <w:t>model include:</w:t>
      </w:r>
    </w:p>
    <w:p w:rsidR="00734B5C" w:rsidRDefault="00734B5C" w:rsidP="00734B5C">
      <w:pPr>
        <w:rPr>
          <w:sz w:val="22"/>
        </w:rPr>
      </w:pPr>
    </w:p>
    <w:p w:rsidR="00734B5C" w:rsidRDefault="00734B5C" w:rsidP="00734B5C">
      <w:pPr>
        <w:numPr>
          <w:ilvl w:val="0"/>
          <w:numId w:val="2"/>
        </w:numPr>
        <w:spacing w:after="120"/>
        <w:outlineLvl w:val="0"/>
        <w:rPr>
          <w:sz w:val="22"/>
        </w:rPr>
      </w:pPr>
      <w:r>
        <w:rPr>
          <w:sz w:val="22"/>
          <w:u w:val="single"/>
        </w:rPr>
        <w:t>Definition of assault weapons.</w:t>
      </w:r>
      <w:r>
        <w:rPr>
          <w:sz w:val="22"/>
        </w:rPr>
        <w:t xml:space="preserve">  Based on a “single military feature test,” the definition eliminates one of the weaknesses of the </w:t>
      </w:r>
      <w:r w:rsidR="00853E3F">
        <w:rPr>
          <w:sz w:val="22"/>
        </w:rPr>
        <w:t xml:space="preserve">expired </w:t>
      </w:r>
      <w:r>
        <w:rPr>
          <w:sz w:val="22"/>
        </w:rPr>
        <w:t>federal ban, and emphasizes high capacity and enhanced control during firing.</w:t>
      </w:r>
    </w:p>
    <w:p w:rsidR="00734B5C" w:rsidRDefault="00734B5C" w:rsidP="00734B5C">
      <w:pPr>
        <w:numPr>
          <w:ilvl w:val="0"/>
          <w:numId w:val="2"/>
        </w:numPr>
        <w:spacing w:after="120"/>
        <w:outlineLvl w:val="0"/>
        <w:rPr>
          <w:sz w:val="22"/>
        </w:rPr>
      </w:pPr>
      <w:r>
        <w:rPr>
          <w:sz w:val="22"/>
          <w:u w:val="single"/>
        </w:rPr>
        <w:t>Ban on assault weapons.</w:t>
      </w:r>
      <w:r>
        <w:rPr>
          <w:sz w:val="22"/>
        </w:rPr>
        <w:t xml:space="preserve">  The manufacture, importation, possession, purchase and transfer of assault weapons are prohibited.</w:t>
      </w:r>
    </w:p>
    <w:p w:rsidR="00734B5C" w:rsidRDefault="00734B5C" w:rsidP="00734B5C">
      <w:pPr>
        <w:numPr>
          <w:ilvl w:val="0"/>
          <w:numId w:val="2"/>
        </w:numPr>
        <w:spacing w:after="120"/>
        <w:outlineLvl w:val="0"/>
        <w:rPr>
          <w:sz w:val="22"/>
        </w:rPr>
      </w:pPr>
      <w:r>
        <w:rPr>
          <w:sz w:val="22"/>
          <w:u w:val="single"/>
        </w:rPr>
        <w:t>Ban on large capacity ammunition magazines.</w:t>
      </w:r>
      <w:r>
        <w:rPr>
          <w:sz w:val="22"/>
        </w:rPr>
        <w:t xml:space="preserve">  Also separately prohibited are the manufacture, importation, possession, purchase and transfer of large capacity ammunition magazines – feeding devices whose capacity greatly enhances the lethality of assault weapons and other firearms.</w:t>
      </w:r>
    </w:p>
    <w:p w:rsidR="00734B5C" w:rsidRDefault="00734B5C" w:rsidP="00734B5C">
      <w:pPr>
        <w:numPr>
          <w:ilvl w:val="0"/>
          <w:numId w:val="2"/>
        </w:numPr>
        <w:outlineLvl w:val="0"/>
        <w:rPr>
          <w:sz w:val="22"/>
        </w:rPr>
      </w:pPr>
      <w:r>
        <w:rPr>
          <w:sz w:val="22"/>
          <w:u w:val="single"/>
        </w:rPr>
        <w:t>Treatment of assault weapons already in circulation.</w:t>
      </w:r>
      <w:r>
        <w:rPr>
          <w:sz w:val="22"/>
        </w:rPr>
        <w:t xml:space="preserve">  Two options are included: (1) assault weapons already in circulation are banned and must be removed from the jurisdiction, rendered permanently inoperable, or surrendered for disposal to the appropriate law enforcement authority, an approach adopted by several local communities; or (2) “pre-ban” assault weapons must be registered with the appropriate law enforcement authority, a process included in a number of the state and local bans, but not in the federal ban.</w:t>
      </w:r>
    </w:p>
    <w:p w:rsidR="00734B5C" w:rsidRDefault="00734B5C" w:rsidP="00734B5C">
      <w:pPr>
        <w:outlineLvl w:val="0"/>
        <w:rPr>
          <w:sz w:val="22"/>
        </w:rPr>
      </w:pPr>
    </w:p>
    <w:p w:rsidR="00734B5C" w:rsidRDefault="00734B5C" w:rsidP="00734B5C">
      <w:pPr>
        <w:outlineLvl w:val="0"/>
        <w:rPr>
          <w:sz w:val="22"/>
        </w:rPr>
      </w:pPr>
      <w:r>
        <w:rPr>
          <w:sz w:val="22"/>
        </w:rPr>
        <w:t>Please note that not all local governments have the authority to regulate firearms, and that even when they do, such ordinances must be carefully tailored to ensure conformity with state law.  For more information and assistance in dr</w:t>
      </w:r>
      <w:r w:rsidR="00BA5D4F">
        <w:rPr>
          <w:sz w:val="22"/>
        </w:rPr>
        <w:t xml:space="preserve">afting a ban, please contact </w:t>
      </w:r>
      <w:r w:rsidR="003667D2">
        <w:rPr>
          <w:sz w:val="22"/>
        </w:rPr>
        <w:t xml:space="preserve">the Law Center </w:t>
      </w:r>
      <w:r>
        <w:rPr>
          <w:sz w:val="22"/>
        </w:rPr>
        <w:t xml:space="preserve">at (415) 433-2062, or via e-mail at </w:t>
      </w:r>
      <w:hyperlink r:id="rId10" w:history="1">
        <w:r w:rsidR="00BD3017" w:rsidRPr="00BD3017">
          <w:rPr>
            <w:rStyle w:val="Hyperlink"/>
            <w:sz w:val="22"/>
            <w:szCs w:val="22"/>
          </w:rPr>
          <w:t>requestassistance@smartgunlaws.org</w:t>
        </w:r>
      </w:hyperlink>
      <w:r w:rsidR="00BD3017" w:rsidRPr="00BD3017">
        <w:rPr>
          <w:sz w:val="22"/>
          <w:szCs w:val="22"/>
        </w:rPr>
        <w:t>.</w:t>
      </w:r>
      <w:r w:rsidR="00BD3017">
        <w:t xml:space="preserve"> </w:t>
      </w:r>
    </w:p>
    <w:p w:rsidR="00C02925" w:rsidRDefault="00734B5C">
      <w:pPr>
        <w:jc w:val="center"/>
        <w:outlineLvl w:val="0"/>
        <w:rPr>
          <w:b/>
          <w:sz w:val="28"/>
        </w:rPr>
      </w:pPr>
      <w:r>
        <w:rPr>
          <w:b/>
          <w:sz w:val="28"/>
        </w:rPr>
        <w:br w:type="page"/>
      </w:r>
      <w:r w:rsidR="00C02925">
        <w:rPr>
          <w:b/>
          <w:sz w:val="28"/>
        </w:rPr>
        <w:lastRenderedPageBreak/>
        <w:t>TEXT OF MODEL LAW TO BAN ASSAULT WEAPONS</w:t>
      </w:r>
      <w:r w:rsidR="00F666DD">
        <w:rPr>
          <w:b/>
          <w:sz w:val="28"/>
        </w:rPr>
        <w:t xml:space="preserve"> AND LARGE CAPACITY AMMUNITION MAGAZINES</w:t>
      </w:r>
    </w:p>
    <w:p w:rsidR="00C02925" w:rsidRDefault="00C02925">
      <w:pPr>
        <w:outlineLvl w:val="0"/>
        <w:rPr>
          <w:sz w:val="22"/>
        </w:rPr>
      </w:pPr>
    </w:p>
    <w:p w:rsidR="00C02925" w:rsidRDefault="00C02925">
      <w:pPr>
        <w:outlineLvl w:val="0"/>
        <w:rPr>
          <w:sz w:val="22"/>
        </w:rPr>
      </w:pPr>
    </w:p>
    <w:p w:rsidR="00C02925" w:rsidRDefault="00C02925">
      <w:pPr>
        <w:rPr>
          <w:b/>
          <w:sz w:val="22"/>
        </w:rPr>
      </w:pPr>
      <w:r>
        <w:rPr>
          <w:b/>
          <w:sz w:val="22"/>
        </w:rPr>
        <w:t>Findings</w:t>
      </w:r>
    </w:p>
    <w:p w:rsidR="00C02925" w:rsidRDefault="00C02925">
      <w:pPr>
        <w:rPr>
          <w:sz w:val="22"/>
        </w:rPr>
      </w:pPr>
    </w:p>
    <w:p w:rsidR="00C02925" w:rsidRDefault="00C02925">
      <w:pPr>
        <w:rPr>
          <w:sz w:val="22"/>
        </w:rPr>
      </w:pPr>
      <w:r>
        <w:rPr>
          <w:sz w:val="22"/>
        </w:rPr>
        <w:t>[Findings in support of a law are most effective when they are specific and localized.  When possible, incorporating state and/or local data from law enforcement, the public health community, and the media is advised.  General findings are included below.]</w:t>
      </w:r>
    </w:p>
    <w:p w:rsidR="00C02925" w:rsidRDefault="00C02925">
      <w:pPr>
        <w:rPr>
          <w:sz w:val="22"/>
        </w:rPr>
      </w:pPr>
    </w:p>
    <w:p w:rsidR="00C02925" w:rsidRDefault="00C02925">
      <w:pPr>
        <w:outlineLvl w:val="0"/>
        <w:rPr>
          <w:sz w:val="22"/>
        </w:rPr>
      </w:pPr>
      <w:r>
        <w:rPr>
          <w:i/>
          <w:sz w:val="22"/>
        </w:rPr>
        <w:t>Whereas</w:t>
      </w:r>
      <w:r>
        <w:rPr>
          <w:sz w:val="22"/>
        </w:rPr>
        <w:t xml:space="preserve"> assault weapons are semi-automatic firearms designed with military features to allow rapid spray firing for the quick and efficient killing of humans;</w:t>
      </w:r>
    </w:p>
    <w:p w:rsidR="00684845" w:rsidRDefault="00684845">
      <w:pPr>
        <w:outlineLvl w:val="0"/>
        <w:rPr>
          <w:sz w:val="22"/>
        </w:rPr>
      </w:pPr>
    </w:p>
    <w:p w:rsidR="00684845" w:rsidRDefault="00684845" w:rsidP="00684845">
      <w:pPr>
        <w:rPr>
          <w:color w:val="000000"/>
          <w:sz w:val="22"/>
        </w:rPr>
      </w:pPr>
      <w:r>
        <w:rPr>
          <w:i/>
          <w:sz w:val="22"/>
        </w:rPr>
        <w:t>Whereas</w:t>
      </w:r>
      <w:r>
        <w:rPr>
          <w:sz w:val="22"/>
        </w:rPr>
        <w:t xml:space="preserve"> </w:t>
      </w:r>
      <w:r w:rsidR="00197441">
        <w:rPr>
          <w:sz w:val="22"/>
        </w:rPr>
        <w:t xml:space="preserve">in 1995, an estimated </w:t>
      </w:r>
      <w:r>
        <w:rPr>
          <w:color w:val="000000"/>
          <w:sz w:val="22"/>
        </w:rPr>
        <w:t xml:space="preserve">2 million assault weapons </w:t>
      </w:r>
      <w:r w:rsidR="00197441">
        <w:rPr>
          <w:color w:val="000000"/>
          <w:sz w:val="22"/>
        </w:rPr>
        <w:t>we</w:t>
      </w:r>
      <w:r>
        <w:rPr>
          <w:color w:val="000000"/>
          <w:sz w:val="22"/>
        </w:rPr>
        <w:t>re already in circulation in the United States;</w:t>
      </w:r>
      <w:r>
        <w:rPr>
          <w:rStyle w:val="FootnoteReference"/>
          <w:color w:val="000000"/>
          <w:sz w:val="22"/>
        </w:rPr>
        <w:footnoteReference w:id="1"/>
      </w:r>
    </w:p>
    <w:p w:rsidR="00C02925" w:rsidRDefault="00C02925">
      <w:pPr>
        <w:rPr>
          <w:sz w:val="22"/>
        </w:rPr>
      </w:pPr>
    </w:p>
    <w:p w:rsidR="00C02925" w:rsidRDefault="00C02925">
      <w:pPr>
        <w:outlineLvl w:val="0"/>
        <w:rPr>
          <w:color w:val="000000"/>
          <w:sz w:val="22"/>
        </w:rPr>
      </w:pPr>
      <w:r>
        <w:rPr>
          <w:i/>
          <w:color w:val="000000"/>
          <w:sz w:val="22"/>
        </w:rPr>
        <w:t>Whereas</w:t>
      </w:r>
      <w:r>
        <w:rPr>
          <w:color w:val="000000"/>
          <w:sz w:val="22"/>
        </w:rPr>
        <w:t xml:space="preserve"> assault weapons have been the weapon of choice in many mass shootings of innocent civilians</w:t>
      </w:r>
      <w:r w:rsidR="003667D2">
        <w:rPr>
          <w:color w:val="000000"/>
          <w:sz w:val="22"/>
        </w:rPr>
        <w:t>,</w:t>
      </w:r>
      <w:r w:rsidR="004157D7">
        <w:rPr>
          <w:color w:val="000000"/>
          <w:sz w:val="22"/>
        </w:rPr>
        <w:t xml:space="preserve"> including</w:t>
      </w:r>
      <w:r w:rsidR="002F4AE8">
        <w:rPr>
          <w:color w:val="000000"/>
          <w:sz w:val="22"/>
        </w:rPr>
        <w:t xml:space="preserve"> </w:t>
      </w:r>
      <w:r w:rsidR="004157D7">
        <w:rPr>
          <w:color w:val="000000"/>
          <w:sz w:val="22"/>
        </w:rPr>
        <w:t xml:space="preserve">the </w:t>
      </w:r>
      <w:r w:rsidR="003752B5">
        <w:rPr>
          <w:color w:val="000000"/>
          <w:sz w:val="22"/>
        </w:rPr>
        <w:t xml:space="preserve">July 20, 2012 </w:t>
      </w:r>
      <w:r w:rsidR="00BD3017">
        <w:rPr>
          <w:color w:val="000000"/>
          <w:sz w:val="22"/>
        </w:rPr>
        <w:t xml:space="preserve">mass </w:t>
      </w:r>
      <w:r w:rsidR="003752B5">
        <w:rPr>
          <w:color w:val="000000"/>
          <w:sz w:val="22"/>
        </w:rPr>
        <w:t xml:space="preserve">shooting in Aurora, Colorado. </w:t>
      </w:r>
      <w:r w:rsidR="00BD3017">
        <w:rPr>
          <w:color w:val="000000"/>
          <w:sz w:val="22"/>
        </w:rPr>
        <w:t xml:space="preserve">James Holmes </w:t>
      </w:r>
      <w:r w:rsidR="003752B5">
        <w:rPr>
          <w:color w:val="000000"/>
          <w:sz w:val="22"/>
        </w:rPr>
        <w:t xml:space="preserve">killed 12 people and wounded 58 using, among other weapons, a Smith &amp; Wesson M&amp;P15 assault rifle </w:t>
      </w:r>
      <w:r w:rsidR="003667D2">
        <w:rPr>
          <w:color w:val="000000"/>
          <w:sz w:val="22"/>
        </w:rPr>
        <w:t xml:space="preserve">equipped with a magazine </w:t>
      </w:r>
      <w:r w:rsidR="003752B5">
        <w:rPr>
          <w:color w:val="000000"/>
          <w:sz w:val="22"/>
        </w:rPr>
        <w:t>capable of holding 100 rounds of ammunition in a single loading</w:t>
      </w:r>
      <w:r>
        <w:rPr>
          <w:color w:val="000000"/>
          <w:sz w:val="22"/>
        </w:rPr>
        <w:t>;</w:t>
      </w:r>
      <w:r w:rsidR="00855A13">
        <w:rPr>
          <w:rStyle w:val="FootnoteReference"/>
          <w:color w:val="000000"/>
          <w:sz w:val="22"/>
        </w:rPr>
        <w:footnoteReference w:id="2"/>
      </w:r>
      <w:r>
        <w:rPr>
          <w:color w:val="000000"/>
          <w:sz w:val="22"/>
        </w:rPr>
        <w:t xml:space="preserve">  </w:t>
      </w:r>
    </w:p>
    <w:p w:rsidR="00C02925" w:rsidRDefault="00C02925">
      <w:pPr>
        <w:outlineLvl w:val="0"/>
        <w:rPr>
          <w:color w:val="000000"/>
          <w:sz w:val="22"/>
        </w:rPr>
      </w:pPr>
    </w:p>
    <w:p w:rsidR="00C02925" w:rsidRDefault="00C02925" w:rsidP="007F7902">
      <w:pPr>
        <w:autoSpaceDE w:val="0"/>
        <w:autoSpaceDN w:val="0"/>
        <w:adjustRightInd w:val="0"/>
        <w:rPr>
          <w:color w:val="000000"/>
          <w:sz w:val="22"/>
          <w:szCs w:val="22"/>
        </w:rPr>
      </w:pPr>
      <w:r>
        <w:rPr>
          <w:i/>
          <w:color w:val="000000"/>
          <w:sz w:val="22"/>
        </w:rPr>
        <w:t>Whereas</w:t>
      </w:r>
      <w:r>
        <w:rPr>
          <w:color w:val="000000"/>
          <w:sz w:val="22"/>
        </w:rPr>
        <w:t xml:space="preserve"> assault weapon shootings are responsible for a significant percentage of the deaths of </w:t>
      </w:r>
      <w:r>
        <w:rPr>
          <w:sz w:val="22"/>
        </w:rPr>
        <w:t>law enforcement officers killed in the line of duty</w:t>
      </w:r>
      <w:r w:rsidR="00631AB4">
        <w:rPr>
          <w:sz w:val="22"/>
        </w:rPr>
        <w:t>.</w:t>
      </w:r>
      <w:r>
        <w:rPr>
          <w:rStyle w:val="FootnoteReference"/>
          <w:sz w:val="22"/>
        </w:rPr>
        <w:footnoteReference w:id="3"/>
      </w:r>
      <w:r w:rsidR="00631AB4">
        <w:rPr>
          <w:sz w:val="22"/>
        </w:rPr>
        <w:t xml:space="preserve"> </w:t>
      </w:r>
      <w:r w:rsidR="00631AB4" w:rsidRPr="005F4F45">
        <w:rPr>
          <w:sz w:val="22"/>
          <w:szCs w:val="22"/>
        </w:rPr>
        <w:t>Anecdotal evidence from law enforcement leaders suggests that military-style assault weapons are increasingly being used against law enforcement by drug dealers and gang members.</w:t>
      </w:r>
      <w:bookmarkStart w:id="1" w:name="_Ref333482496"/>
      <w:r w:rsidR="005A4E41" w:rsidRPr="005F4F45">
        <w:rPr>
          <w:rStyle w:val="FootnoteReference"/>
          <w:sz w:val="22"/>
          <w:szCs w:val="22"/>
        </w:rPr>
        <w:footnoteReference w:id="4"/>
      </w:r>
      <w:bookmarkEnd w:id="1"/>
      <w:r w:rsidR="00631AB4" w:rsidRPr="005F4F45">
        <w:rPr>
          <w:sz w:val="22"/>
          <w:szCs w:val="22"/>
        </w:rPr>
        <w:t xml:space="preserve"> In response, law enforcement agencies are upgrading their arsenals to include more assault weapons</w:t>
      </w:r>
      <w:r w:rsidR="007F7902">
        <w:rPr>
          <w:sz w:val="22"/>
          <w:szCs w:val="22"/>
        </w:rPr>
        <w:t>.</w:t>
      </w:r>
      <w:r w:rsidR="005A4E41" w:rsidRPr="005F4F45">
        <w:rPr>
          <w:rStyle w:val="FootnoteReference"/>
          <w:sz w:val="22"/>
          <w:szCs w:val="22"/>
        </w:rPr>
        <w:footnoteReference w:id="5"/>
      </w:r>
      <w:r w:rsidR="005A4E41" w:rsidRPr="005F4F45">
        <w:rPr>
          <w:color w:val="000000"/>
          <w:sz w:val="22"/>
          <w:szCs w:val="22"/>
        </w:rPr>
        <w:t xml:space="preserve"> </w:t>
      </w:r>
    </w:p>
    <w:p w:rsidR="00BD3017" w:rsidRDefault="00BD3017">
      <w:pPr>
        <w:outlineLvl w:val="0"/>
        <w:rPr>
          <w:color w:val="000000"/>
          <w:sz w:val="22"/>
          <w:szCs w:val="22"/>
        </w:rPr>
      </w:pPr>
    </w:p>
    <w:p w:rsidR="007F7902" w:rsidRPr="007F7902" w:rsidRDefault="00BD3017" w:rsidP="007F7902">
      <w:pPr>
        <w:autoSpaceDE w:val="0"/>
        <w:autoSpaceDN w:val="0"/>
        <w:adjustRightInd w:val="0"/>
        <w:rPr>
          <w:sz w:val="22"/>
          <w:szCs w:val="22"/>
        </w:rPr>
      </w:pPr>
      <w:r w:rsidRPr="007F7902">
        <w:rPr>
          <w:i/>
          <w:color w:val="000000"/>
          <w:sz w:val="22"/>
          <w:szCs w:val="22"/>
        </w:rPr>
        <w:t>Whereas</w:t>
      </w:r>
      <w:r>
        <w:rPr>
          <w:color w:val="000000"/>
          <w:sz w:val="22"/>
          <w:szCs w:val="22"/>
        </w:rPr>
        <w:t xml:space="preserve"> </w:t>
      </w:r>
      <w:r w:rsidR="007F7902">
        <w:rPr>
          <w:color w:val="000000"/>
          <w:sz w:val="22"/>
          <w:szCs w:val="22"/>
        </w:rPr>
        <w:t>the International Association of Chiefs of Police recommends enactment of effective bans on military</w:t>
      </w:r>
      <w:r w:rsidR="007F7902" w:rsidRPr="007F7902">
        <w:rPr>
          <w:sz w:val="22"/>
          <w:szCs w:val="22"/>
        </w:rPr>
        <w:t xml:space="preserve">-style assault weapons in order to </w:t>
      </w:r>
      <w:r w:rsidR="007F7902">
        <w:rPr>
          <w:sz w:val="22"/>
          <w:szCs w:val="22"/>
        </w:rPr>
        <w:t xml:space="preserve">curb the ability of criminals to “outgun” </w:t>
      </w:r>
      <w:r w:rsidR="007F7902" w:rsidRPr="007F7902">
        <w:rPr>
          <w:sz w:val="22"/>
          <w:szCs w:val="22"/>
        </w:rPr>
        <w:t>law enforcement officers.</w:t>
      </w:r>
      <w:r w:rsidR="007F7902">
        <w:rPr>
          <w:rStyle w:val="FootnoteReference"/>
          <w:sz w:val="22"/>
          <w:szCs w:val="22"/>
        </w:rPr>
        <w:footnoteReference w:id="6"/>
      </w:r>
    </w:p>
    <w:p w:rsidR="00BD3017" w:rsidRDefault="00BD3017">
      <w:pPr>
        <w:outlineLvl w:val="0"/>
        <w:rPr>
          <w:color w:val="000000"/>
          <w:sz w:val="22"/>
          <w:szCs w:val="22"/>
        </w:rPr>
      </w:pPr>
    </w:p>
    <w:p w:rsidR="00101DAF" w:rsidRPr="00101DAF" w:rsidRDefault="002F4AE8" w:rsidP="00101DAF">
      <w:pPr>
        <w:rPr>
          <w:sz w:val="22"/>
          <w:szCs w:val="22"/>
        </w:rPr>
      </w:pPr>
      <w:r w:rsidRPr="00101DAF">
        <w:rPr>
          <w:i/>
          <w:color w:val="000000"/>
          <w:sz w:val="22"/>
          <w:szCs w:val="22"/>
        </w:rPr>
        <w:t>Whereas</w:t>
      </w:r>
      <w:r w:rsidRPr="00101DAF">
        <w:rPr>
          <w:color w:val="000000"/>
          <w:sz w:val="22"/>
          <w:szCs w:val="22"/>
        </w:rPr>
        <w:t xml:space="preserve"> </w:t>
      </w:r>
      <w:r w:rsidR="00101DAF" w:rsidRPr="00101DAF">
        <w:rPr>
          <w:sz w:val="22"/>
          <w:szCs w:val="22"/>
        </w:rPr>
        <w:t xml:space="preserve">in 1994, </w:t>
      </w:r>
      <w:r w:rsidR="00BF46C9">
        <w:rPr>
          <w:sz w:val="22"/>
          <w:szCs w:val="22"/>
        </w:rPr>
        <w:t xml:space="preserve">a federal </w:t>
      </w:r>
      <w:r w:rsidR="00101DAF">
        <w:rPr>
          <w:sz w:val="22"/>
          <w:szCs w:val="22"/>
        </w:rPr>
        <w:t xml:space="preserve">ban on the </w:t>
      </w:r>
      <w:r w:rsidR="00101DAF" w:rsidRPr="00101DAF">
        <w:rPr>
          <w:sz w:val="22"/>
          <w:szCs w:val="22"/>
        </w:rPr>
        <w:t xml:space="preserve">manufacture, transfer, </w:t>
      </w:r>
      <w:r w:rsidR="00101DAF">
        <w:rPr>
          <w:sz w:val="22"/>
          <w:szCs w:val="22"/>
        </w:rPr>
        <w:t xml:space="preserve">and </w:t>
      </w:r>
      <w:r w:rsidR="00101DAF" w:rsidRPr="00101DAF">
        <w:rPr>
          <w:sz w:val="22"/>
          <w:szCs w:val="22"/>
        </w:rPr>
        <w:t>possess</w:t>
      </w:r>
      <w:r w:rsidR="00101DAF">
        <w:rPr>
          <w:sz w:val="22"/>
          <w:szCs w:val="22"/>
        </w:rPr>
        <w:t xml:space="preserve">ion of </w:t>
      </w:r>
      <w:r w:rsidR="00101DAF" w:rsidRPr="00101DAF">
        <w:rPr>
          <w:sz w:val="22"/>
          <w:szCs w:val="22"/>
        </w:rPr>
        <w:t>semi</w:t>
      </w:r>
      <w:r w:rsidR="00F87700">
        <w:rPr>
          <w:sz w:val="22"/>
          <w:szCs w:val="22"/>
        </w:rPr>
        <w:t>-</w:t>
      </w:r>
      <w:r w:rsidR="00101DAF" w:rsidRPr="00101DAF">
        <w:rPr>
          <w:sz w:val="22"/>
          <w:szCs w:val="22"/>
        </w:rPr>
        <w:t>automatic assault weapon</w:t>
      </w:r>
      <w:r w:rsidR="00101DAF">
        <w:rPr>
          <w:sz w:val="22"/>
          <w:szCs w:val="22"/>
        </w:rPr>
        <w:t>s</w:t>
      </w:r>
      <w:r w:rsidR="00101DAF" w:rsidRPr="00101DAF">
        <w:rPr>
          <w:sz w:val="22"/>
          <w:szCs w:val="22"/>
        </w:rPr>
        <w:t xml:space="preserve"> and the transfer and possession of large capacity ammunition feeding devices </w:t>
      </w:r>
      <w:r w:rsidR="00BF46C9">
        <w:rPr>
          <w:sz w:val="22"/>
          <w:szCs w:val="22"/>
        </w:rPr>
        <w:t>was enacted</w:t>
      </w:r>
      <w:r w:rsidR="00101DAF" w:rsidRPr="00101DAF">
        <w:rPr>
          <w:sz w:val="22"/>
          <w:szCs w:val="22"/>
        </w:rPr>
        <w:t>.</w:t>
      </w:r>
      <w:r w:rsidR="00101DAF" w:rsidRPr="00101DAF">
        <w:rPr>
          <w:rStyle w:val="FootnoteReference"/>
          <w:sz w:val="22"/>
          <w:szCs w:val="22"/>
        </w:rPr>
        <w:footnoteReference w:id="7"/>
      </w:r>
      <w:r w:rsidR="00101DAF">
        <w:rPr>
          <w:sz w:val="22"/>
          <w:szCs w:val="22"/>
        </w:rPr>
        <w:t xml:space="preserve"> </w:t>
      </w:r>
      <w:r w:rsidR="00101DAF" w:rsidRPr="00101DAF">
        <w:rPr>
          <w:sz w:val="22"/>
          <w:szCs w:val="22"/>
        </w:rPr>
        <w:t xml:space="preserve">The law </w:t>
      </w:r>
      <w:r w:rsidR="00BD5F3C">
        <w:rPr>
          <w:sz w:val="22"/>
          <w:szCs w:val="22"/>
        </w:rPr>
        <w:t xml:space="preserve">included a ten-year sunset provision. In </w:t>
      </w:r>
      <w:r w:rsidR="00101DAF" w:rsidRPr="00101DAF">
        <w:rPr>
          <w:sz w:val="22"/>
          <w:szCs w:val="22"/>
        </w:rPr>
        <w:t>2004</w:t>
      </w:r>
      <w:r w:rsidR="003667D2">
        <w:rPr>
          <w:sz w:val="22"/>
          <w:szCs w:val="22"/>
        </w:rPr>
        <w:t>,</w:t>
      </w:r>
      <w:r w:rsidR="00101DAF" w:rsidRPr="00101DAF">
        <w:rPr>
          <w:sz w:val="22"/>
          <w:szCs w:val="22"/>
        </w:rPr>
        <w:t xml:space="preserve"> Congress allowed the law to expire.</w:t>
      </w:r>
      <w:r w:rsidR="00101DAF">
        <w:t xml:space="preserve"> </w:t>
      </w:r>
      <w:r w:rsidR="00352B6B" w:rsidRPr="00352B6B">
        <w:rPr>
          <w:sz w:val="22"/>
          <w:szCs w:val="22"/>
        </w:rPr>
        <w:t xml:space="preserve">Seven states and the District of Columbia currently ban assault weapons </w:t>
      </w:r>
      <w:r w:rsidR="00BD5F3C">
        <w:rPr>
          <w:sz w:val="22"/>
          <w:szCs w:val="22"/>
        </w:rPr>
        <w:t xml:space="preserve">at the state level </w:t>
      </w:r>
      <w:r w:rsidR="00352B6B" w:rsidRPr="00352B6B">
        <w:rPr>
          <w:sz w:val="22"/>
          <w:szCs w:val="22"/>
        </w:rPr>
        <w:t>and (with the exception of Connecticut) large capacity ammunition magazines.</w:t>
      </w:r>
      <w:r w:rsidR="00352B6B" w:rsidRPr="00352B6B">
        <w:rPr>
          <w:rStyle w:val="FootnoteReference"/>
          <w:sz w:val="22"/>
          <w:szCs w:val="22"/>
        </w:rPr>
        <w:footnoteReference w:id="8"/>
      </w:r>
      <w:r w:rsidR="00352B6B" w:rsidRPr="00352B6B">
        <w:rPr>
          <w:sz w:val="22"/>
          <w:szCs w:val="22"/>
        </w:rPr>
        <w:t xml:space="preserve">  Two additional states regulate but do not ban assault weapons.</w:t>
      </w:r>
      <w:r w:rsidR="00352B6B" w:rsidRPr="00352B6B">
        <w:rPr>
          <w:rStyle w:val="FootnoteReference"/>
          <w:sz w:val="22"/>
          <w:szCs w:val="22"/>
        </w:rPr>
        <w:footnoteReference w:id="9"/>
      </w:r>
    </w:p>
    <w:p w:rsidR="002F4AE8" w:rsidRDefault="00562B0C" w:rsidP="00F009CB">
      <w:pPr>
        <w:outlineLvl w:val="0"/>
        <w:rPr>
          <w:color w:val="000000"/>
          <w:sz w:val="22"/>
          <w:szCs w:val="22"/>
        </w:rPr>
      </w:pPr>
      <w:r w:rsidRPr="00F009CB">
        <w:rPr>
          <w:i/>
          <w:color w:val="000000"/>
          <w:sz w:val="22"/>
          <w:szCs w:val="22"/>
        </w:rPr>
        <w:lastRenderedPageBreak/>
        <w:t>Whereas</w:t>
      </w:r>
      <w:r>
        <w:rPr>
          <w:color w:val="000000"/>
          <w:sz w:val="22"/>
          <w:szCs w:val="22"/>
        </w:rPr>
        <w:t xml:space="preserve"> </w:t>
      </w:r>
      <w:r w:rsidR="00F009CB">
        <w:rPr>
          <w:color w:val="000000"/>
          <w:sz w:val="22"/>
          <w:szCs w:val="22"/>
        </w:rPr>
        <w:t>studies show that the federal assault weapon ban resulted in a marked decrease in the use of assault weapons and large capacity ammunition magazines in crime.  One study found that in several major cities, the share of recovered crime guns that were assault weapons declined by at least 32% after the federal ban was adopted.</w:t>
      </w:r>
      <w:r w:rsidR="00F009CB">
        <w:rPr>
          <w:rStyle w:val="FootnoteReference"/>
          <w:color w:val="000000"/>
          <w:sz w:val="22"/>
          <w:szCs w:val="22"/>
        </w:rPr>
        <w:footnoteReference w:id="10"/>
      </w:r>
      <w:r w:rsidR="00F009CB">
        <w:rPr>
          <w:color w:val="000000"/>
          <w:sz w:val="22"/>
          <w:szCs w:val="22"/>
        </w:rPr>
        <w:t xml:space="preserve">  Another study analyzed data kept by the Virginia State Police and found a clear decline in the percentage of crime guns that </w:t>
      </w:r>
      <w:r w:rsidR="0050424C">
        <w:rPr>
          <w:color w:val="000000"/>
          <w:sz w:val="22"/>
          <w:szCs w:val="22"/>
        </w:rPr>
        <w:t xml:space="preserve">were equipped with </w:t>
      </w:r>
      <w:r w:rsidR="00F009CB">
        <w:rPr>
          <w:color w:val="000000"/>
          <w:sz w:val="22"/>
          <w:szCs w:val="22"/>
        </w:rPr>
        <w:t xml:space="preserve">large capacity ammunition magazines after the </w:t>
      </w:r>
      <w:r w:rsidR="0050424C">
        <w:rPr>
          <w:color w:val="000000"/>
          <w:sz w:val="22"/>
          <w:szCs w:val="22"/>
        </w:rPr>
        <w:t xml:space="preserve">federal </w:t>
      </w:r>
      <w:r w:rsidR="00F009CB">
        <w:rPr>
          <w:color w:val="000000"/>
          <w:sz w:val="22"/>
          <w:szCs w:val="22"/>
        </w:rPr>
        <w:t>ban was enacted. The percentage reached a low of 10% in 2004 and then steadily climbed after Congress allowed the ban to expire</w:t>
      </w:r>
      <w:r w:rsidR="0050424C">
        <w:rPr>
          <w:color w:val="000000"/>
          <w:sz w:val="22"/>
          <w:szCs w:val="22"/>
        </w:rPr>
        <w:t>; b</w:t>
      </w:r>
      <w:r w:rsidR="00F009CB">
        <w:rPr>
          <w:color w:val="000000"/>
          <w:sz w:val="22"/>
          <w:szCs w:val="22"/>
        </w:rPr>
        <w:t>y 2010, the percentage was close to 22%.</w:t>
      </w:r>
      <w:r w:rsidR="00F009CB">
        <w:rPr>
          <w:rStyle w:val="FootnoteReference"/>
          <w:color w:val="000000"/>
          <w:sz w:val="22"/>
          <w:szCs w:val="22"/>
        </w:rPr>
        <w:footnoteReference w:id="11"/>
      </w:r>
    </w:p>
    <w:p w:rsidR="0050424C" w:rsidRDefault="0050424C" w:rsidP="00F009CB">
      <w:pPr>
        <w:outlineLvl w:val="0"/>
        <w:rPr>
          <w:color w:val="000000"/>
          <w:sz w:val="22"/>
          <w:szCs w:val="22"/>
        </w:rPr>
      </w:pPr>
    </w:p>
    <w:p w:rsidR="000223D1" w:rsidRDefault="0050424C" w:rsidP="000223D1">
      <w:pPr>
        <w:outlineLvl w:val="0"/>
        <w:rPr>
          <w:sz w:val="22"/>
          <w:szCs w:val="22"/>
        </w:rPr>
      </w:pPr>
      <w:r w:rsidRPr="0050424C">
        <w:rPr>
          <w:i/>
          <w:color w:val="000000"/>
          <w:sz w:val="22"/>
          <w:szCs w:val="22"/>
        </w:rPr>
        <w:t>Whereas</w:t>
      </w:r>
      <w:r>
        <w:rPr>
          <w:color w:val="000000"/>
          <w:sz w:val="22"/>
          <w:szCs w:val="22"/>
        </w:rPr>
        <w:t xml:space="preserve"> </w:t>
      </w:r>
      <w:r w:rsidRPr="0050424C">
        <w:rPr>
          <w:color w:val="000000"/>
          <w:sz w:val="22"/>
          <w:szCs w:val="22"/>
        </w:rPr>
        <w:t>o</w:t>
      </w:r>
      <w:r w:rsidRPr="0050424C">
        <w:rPr>
          <w:sz w:val="22"/>
          <w:szCs w:val="22"/>
        </w:rPr>
        <w:t>ur nation’s lax gun laws adversely impact our neighbors, especially Mexico.</w:t>
      </w:r>
      <w:r w:rsidR="000223D1">
        <w:rPr>
          <w:sz w:val="22"/>
          <w:szCs w:val="22"/>
        </w:rPr>
        <w:t xml:space="preserve">  </w:t>
      </w:r>
      <w:r w:rsidR="000223D1" w:rsidRPr="000223D1">
        <w:rPr>
          <w:sz w:val="22"/>
          <w:szCs w:val="22"/>
        </w:rPr>
        <w:t xml:space="preserve">A joint report by </w:t>
      </w:r>
      <w:r w:rsidR="009835BE">
        <w:rPr>
          <w:sz w:val="22"/>
          <w:szCs w:val="22"/>
        </w:rPr>
        <w:t xml:space="preserve">scholars in Mexico and the United States </w:t>
      </w:r>
      <w:r w:rsidR="000223D1">
        <w:rPr>
          <w:sz w:val="22"/>
          <w:szCs w:val="22"/>
        </w:rPr>
        <w:t xml:space="preserve">found that </w:t>
      </w:r>
      <w:r w:rsidR="000223D1" w:rsidRPr="000223D1">
        <w:rPr>
          <w:sz w:val="22"/>
          <w:szCs w:val="22"/>
        </w:rPr>
        <w:t>semi</w:t>
      </w:r>
      <w:r w:rsidR="00F87700">
        <w:rPr>
          <w:sz w:val="22"/>
          <w:szCs w:val="22"/>
        </w:rPr>
        <w:t>-</w:t>
      </w:r>
      <w:r w:rsidR="000223D1" w:rsidRPr="000223D1">
        <w:rPr>
          <w:sz w:val="22"/>
          <w:szCs w:val="22"/>
        </w:rPr>
        <w:t>automatic assault rifles are the most sought after and widely used</w:t>
      </w:r>
      <w:r w:rsidR="00083460">
        <w:rPr>
          <w:sz w:val="22"/>
          <w:szCs w:val="22"/>
        </w:rPr>
        <w:t xml:space="preserve"> weapons</w:t>
      </w:r>
      <w:r w:rsidR="000223D1" w:rsidRPr="000223D1">
        <w:rPr>
          <w:sz w:val="22"/>
          <w:szCs w:val="22"/>
        </w:rPr>
        <w:t xml:space="preserve"> by Mexican drug trafficking organizations</w:t>
      </w:r>
      <w:r w:rsidR="000223D1">
        <w:rPr>
          <w:sz w:val="22"/>
          <w:szCs w:val="22"/>
        </w:rPr>
        <w:t>.</w:t>
      </w:r>
      <w:r w:rsidR="000223D1" w:rsidRPr="000223D1">
        <w:rPr>
          <w:sz w:val="22"/>
          <w:szCs w:val="22"/>
          <w:vertAlign w:val="superscript"/>
        </w:rPr>
        <w:footnoteReference w:id="12"/>
      </w:r>
      <w:r w:rsidR="00FA17B5">
        <w:rPr>
          <w:sz w:val="22"/>
          <w:szCs w:val="22"/>
        </w:rPr>
        <w:t xml:space="preserve"> </w:t>
      </w:r>
      <w:r w:rsidR="00FA17B5" w:rsidRPr="0050424C">
        <w:rPr>
          <w:sz w:val="22"/>
          <w:szCs w:val="22"/>
        </w:rPr>
        <w:t xml:space="preserve">According to </w:t>
      </w:r>
      <w:r w:rsidR="00754072">
        <w:rPr>
          <w:sz w:val="22"/>
          <w:szCs w:val="22"/>
        </w:rPr>
        <w:t xml:space="preserve">the Bureau of </w:t>
      </w:r>
      <w:r w:rsidR="00FA17B5" w:rsidRPr="0050424C">
        <w:rPr>
          <w:sz w:val="22"/>
          <w:szCs w:val="22"/>
        </w:rPr>
        <w:t>A</w:t>
      </w:r>
      <w:r w:rsidR="00754072">
        <w:rPr>
          <w:sz w:val="22"/>
          <w:szCs w:val="22"/>
        </w:rPr>
        <w:t xml:space="preserve">lcohol, </w:t>
      </w:r>
      <w:r w:rsidR="00FA17B5" w:rsidRPr="0050424C">
        <w:rPr>
          <w:sz w:val="22"/>
          <w:szCs w:val="22"/>
        </w:rPr>
        <w:t>T</w:t>
      </w:r>
      <w:r w:rsidR="00754072">
        <w:rPr>
          <w:sz w:val="22"/>
          <w:szCs w:val="22"/>
        </w:rPr>
        <w:t xml:space="preserve">obacco, </w:t>
      </w:r>
      <w:r w:rsidR="00FA17B5" w:rsidRPr="0050424C">
        <w:rPr>
          <w:sz w:val="22"/>
          <w:szCs w:val="22"/>
        </w:rPr>
        <w:t>F</w:t>
      </w:r>
      <w:r w:rsidR="00754072">
        <w:rPr>
          <w:sz w:val="22"/>
          <w:szCs w:val="22"/>
        </w:rPr>
        <w:t>irearm</w:t>
      </w:r>
      <w:r w:rsidR="003667D2">
        <w:rPr>
          <w:sz w:val="22"/>
          <w:szCs w:val="22"/>
        </w:rPr>
        <w:t>s</w:t>
      </w:r>
      <w:r w:rsidR="00754072">
        <w:rPr>
          <w:sz w:val="22"/>
          <w:szCs w:val="22"/>
        </w:rPr>
        <w:t xml:space="preserve"> and Explosives (“ATF”)</w:t>
      </w:r>
      <w:r w:rsidR="00FA17B5" w:rsidRPr="0050424C">
        <w:rPr>
          <w:sz w:val="22"/>
          <w:szCs w:val="22"/>
        </w:rPr>
        <w:t xml:space="preserve">, </w:t>
      </w:r>
      <w:r w:rsidR="00FA17B5">
        <w:rPr>
          <w:sz w:val="22"/>
          <w:szCs w:val="22"/>
        </w:rPr>
        <w:t xml:space="preserve">over </w:t>
      </w:r>
      <w:r w:rsidR="00FA17B5" w:rsidRPr="0050424C">
        <w:rPr>
          <w:sz w:val="22"/>
          <w:szCs w:val="22"/>
        </w:rPr>
        <w:t>two-thirds of firearms seized by Mexican authorities a</w:t>
      </w:r>
      <w:r w:rsidR="00FA17B5">
        <w:rPr>
          <w:sz w:val="22"/>
          <w:szCs w:val="22"/>
        </w:rPr>
        <w:t xml:space="preserve">nd traced over </w:t>
      </w:r>
      <w:r w:rsidR="00754072">
        <w:rPr>
          <w:sz w:val="22"/>
          <w:szCs w:val="22"/>
        </w:rPr>
        <w:t>f</w:t>
      </w:r>
      <w:r w:rsidR="00FA17B5">
        <w:rPr>
          <w:sz w:val="22"/>
          <w:szCs w:val="22"/>
        </w:rPr>
        <w:t xml:space="preserve">iscal </w:t>
      </w:r>
      <w:r w:rsidR="00754072">
        <w:rPr>
          <w:sz w:val="22"/>
          <w:szCs w:val="22"/>
        </w:rPr>
        <w:t>y</w:t>
      </w:r>
      <w:r w:rsidR="00FA17B5">
        <w:rPr>
          <w:sz w:val="22"/>
          <w:szCs w:val="22"/>
        </w:rPr>
        <w:t>ears 2007-2011</w:t>
      </w:r>
      <w:r w:rsidR="00FA17B5" w:rsidRPr="0050424C">
        <w:rPr>
          <w:sz w:val="22"/>
          <w:szCs w:val="22"/>
        </w:rPr>
        <w:t xml:space="preserve"> originated in the U.S.</w:t>
      </w:r>
      <w:r w:rsidR="00FA17B5">
        <w:rPr>
          <w:rStyle w:val="FootnoteReference"/>
          <w:sz w:val="22"/>
          <w:szCs w:val="22"/>
        </w:rPr>
        <w:footnoteReference w:id="13"/>
      </w:r>
      <w:r w:rsidR="00083460">
        <w:rPr>
          <w:sz w:val="22"/>
          <w:szCs w:val="22"/>
        </w:rPr>
        <w:t xml:space="preserve"> The actual percentage is likely much higher due to the large </w:t>
      </w:r>
      <w:r w:rsidR="006721B4">
        <w:rPr>
          <w:sz w:val="22"/>
          <w:szCs w:val="22"/>
        </w:rPr>
        <w:t xml:space="preserve">number </w:t>
      </w:r>
      <w:r w:rsidR="00083460">
        <w:rPr>
          <w:sz w:val="22"/>
          <w:szCs w:val="22"/>
        </w:rPr>
        <w:t>of trace requests that lacked sufficient data to determine the source country of the firearm.</w:t>
      </w:r>
      <w:r w:rsidR="00083460">
        <w:rPr>
          <w:rStyle w:val="FootnoteReference"/>
          <w:sz w:val="22"/>
          <w:szCs w:val="22"/>
        </w:rPr>
        <w:footnoteReference w:id="14"/>
      </w:r>
    </w:p>
    <w:p w:rsidR="006721B4" w:rsidRPr="000223D1" w:rsidRDefault="006721B4" w:rsidP="000223D1">
      <w:pPr>
        <w:outlineLvl w:val="0"/>
        <w:rPr>
          <w:sz w:val="22"/>
          <w:szCs w:val="22"/>
        </w:rPr>
      </w:pPr>
    </w:p>
    <w:p w:rsidR="000C61BD" w:rsidRDefault="006721B4" w:rsidP="006721B4">
      <w:pPr>
        <w:autoSpaceDE w:val="0"/>
        <w:autoSpaceDN w:val="0"/>
        <w:adjustRightInd w:val="0"/>
        <w:rPr>
          <w:color w:val="000000"/>
          <w:sz w:val="22"/>
          <w:szCs w:val="22"/>
        </w:rPr>
      </w:pPr>
      <w:r w:rsidRPr="000C61BD">
        <w:rPr>
          <w:i/>
          <w:color w:val="000000"/>
          <w:sz w:val="22"/>
          <w:szCs w:val="22"/>
        </w:rPr>
        <w:t>Whereas</w:t>
      </w:r>
      <w:r>
        <w:rPr>
          <w:color w:val="000000"/>
          <w:sz w:val="22"/>
          <w:szCs w:val="22"/>
        </w:rPr>
        <w:t xml:space="preserve"> a </w:t>
      </w:r>
      <w:r w:rsidR="000C61BD">
        <w:rPr>
          <w:color w:val="000000"/>
          <w:sz w:val="22"/>
          <w:szCs w:val="22"/>
        </w:rPr>
        <w:t xml:space="preserve">recent </w:t>
      </w:r>
      <w:r>
        <w:rPr>
          <w:color w:val="000000"/>
          <w:sz w:val="22"/>
          <w:szCs w:val="22"/>
        </w:rPr>
        <w:t xml:space="preserve">study </w:t>
      </w:r>
      <w:r w:rsidR="000C61BD">
        <w:rPr>
          <w:color w:val="000000"/>
          <w:sz w:val="22"/>
          <w:szCs w:val="22"/>
        </w:rPr>
        <w:t xml:space="preserve">found that the expiration of the federal assault weapon ban likely contributed to increased drug-trafficking related violence in Mexico. </w:t>
      </w:r>
      <w:r w:rsidR="00DF5E6E">
        <w:rPr>
          <w:color w:val="000000"/>
          <w:sz w:val="22"/>
          <w:szCs w:val="22"/>
        </w:rPr>
        <w:t>T</w:t>
      </w:r>
      <w:r w:rsidR="000C61BD">
        <w:rPr>
          <w:color w:val="000000"/>
          <w:sz w:val="22"/>
          <w:szCs w:val="22"/>
        </w:rPr>
        <w:t xml:space="preserve">he authors of the study </w:t>
      </w:r>
      <w:r w:rsidR="00DF5E6E">
        <w:rPr>
          <w:color w:val="000000"/>
          <w:sz w:val="22"/>
          <w:szCs w:val="22"/>
        </w:rPr>
        <w:t xml:space="preserve">found that after the federal ban expired, there was a 40% increase in homicide rates in </w:t>
      </w:r>
      <w:r w:rsidR="000C61BD">
        <w:rPr>
          <w:color w:val="000000"/>
          <w:sz w:val="22"/>
          <w:szCs w:val="22"/>
        </w:rPr>
        <w:t xml:space="preserve">areas </w:t>
      </w:r>
      <w:r w:rsidR="009974F4">
        <w:rPr>
          <w:color w:val="000000"/>
          <w:sz w:val="22"/>
          <w:szCs w:val="22"/>
        </w:rPr>
        <w:t>in Mexico</w:t>
      </w:r>
      <w:r w:rsidR="003667D2">
        <w:rPr>
          <w:color w:val="000000"/>
          <w:sz w:val="22"/>
          <w:szCs w:val="22"/>
        </w:rPr>
        <w:t xml:space="preserve"> </w:t>
      </w:r>
      <w:r w:rsidR="000C61BD">
        <w:rPr>
          <w:color w:val="000000"/>
          <w:sz w:val="22"/>
          <w:szCs w:val="22"/>
        </w:rPr>
        <w:t>along the Texas, New Mexico and Arizona border</w:t>
      </w:r>
      <w:r w:rsidR="003667D2">
        <w:rPr>
          <w:color w:val="000000"/>
          <w:sz w:val="22"/>
          <w:szCs w:val="22"/>
        </w:rPr>
        <w:t>s</w:t>
      </w:r>
      <w:r w:rsidR="00DF5E6E">
        <w:rPr>
          <w:color w:val="000000"/>
          <w:sz w:val="22"/>
          <w:szCs w:val="22"/>
        </w:rPr>
        <w:t xml:space="preserve"> compared to areas along the California border</w:t>
      </w:r>
      <w:r w:rsidR="000C61BD">
        <w:rPr>
          <w:color w:val="000000"/>
          <w:sz w:val="22"/>
          <w:szCs w:val="22"/>
        </w:rPr>
        <w:t>.</w:t>
      </w:r>
      <w:r w:rsidR="00DF5E6E">
        <w:rPr>
          <w:color w:val="000000"/>
          <w:sz w:val="22"/>
          <w:szCs w:val="22"/>
        </w:rPr>
        <w:t xml:space="preserve"> California </w:t>
      </w:r>
      <w:r w:rsidR="000C61BD">
        <w:rPr>
          <w:color w:val="000000"/>
          <w:sz w:val="22"/>
          <w:szCs w:val="22"/>
        </w:rPr>
        <w:t>ban</w:t>
      </w:r>
      <w:r w:rsidR="00DF5E6E">
        <w:rPr>
          <w:color w:val="000000"/>
          <w:sz w:val="22"/>
          <w:szCs w:val="22"/>
        </w:rPr>
        <w:t>s</w:t>
      </w:r>
      <w:r w:rsidR="000C61BD">
        <w:rPr>
          <w:color w:val="000000"/>
          <w:sz w:val="22"/>
          <w:szCs w:val="22"/>
        </w:rPr>
        <w:t xml:space="preserve"> assault weapons </w:t>
      </w:r>
      <w:r w:rsidR="00DF5E6E">
        <w:rPr>
          <w:color w:val="000000"/>
          <w:sz w:val="22"/>
          <w:szCs w:val="22"/>
        </w:rPr>
        <w:t xml:space="preserve">under state law while </w:t>
      </w:r>
      <w:r w:rsidR="000C61BD">
        <w:rPr>
          <w:color w:val="000000"/>
          <w:sz w:val="22"/>
          <w:szCs w:val="22"/>
        </w:rPr>
        <w:t>the other border states do not</w:t>
      </w:r>
      <w:r w:rsidR="00DF5E6E">
        <w:rPr>
          <w:color w:val="000000"/>
          <w:sz w:val="22"/>
          <w:szCs w:val="22"/>
        </w:rPr>
        <w:t>.</w:t>
      </w:r>
      <w:r w:rsidR="006E3C91">
        <w:rPr>
          <w:rStyle w:val="FootnoteReference"/>
          <w:color w:val="000000"/>
          <w:sz w:val="22"/>
          <w:szCs w:val="22"/>
        </w:rPr>
        <w:footnoteReference w:id="15"/>
      </w:r>
    </w:p>
    <w:p w:rsidR="00684845" w:rsidRDefault="00684845" w:rsidP="006721B4">
      <w:pPr>
        <w:autoSpaceDE w:val="0"/>
        <w:autoSpaceDN w:val="0"/>
        <w:adjustRightInd w:val="0"/>
        <w:rPr>
          <w:color w:val="000000"/>
          <w:sz w:val="22"/>
          <w:szCs w:val="22"/>
        </w:rPr>
      </w:pPr>
    </w:p>
    <w:p w:rsidR="002A5E9D" w:rsidRDefault="00684845" w:rsidP="00D25121">
      <w:pPr>
        <w:rPr>
          <w:sz w:val="22"/>
          <w:szCs w:val="22"/>
        </w:rPr>
      </w:pPr>
      <w:r w:rsidRPr="00684845">
        <w:rPr>
          <w:i/>
          <w:color w:val="000000"/>
          <w:sz w:val="22"/>
          <w:szCs w:val="22"/>
        </w:rPr>
        <w:t>Whereas</w:t>
      </w:r>
      <w:r>
        <w:rPr>
          <w:color w:val="000000"/>
          <w:sz w:val="22"/>
          <w:szCs w:val="22"/>
        </w:rPr>
        <w:t xml:space="preserve"> </w:t>
      </w:r>
      <w:r w:rsidR="00F930C9">
        <w:rPr>
          <w:color w:val="000000"/>
          <w:sz w:val="22"/>
          <w:szCs w:val="22"/>
        </w:rPr>
        <w:t xml:space="preserve">banning assault weapons is consistent with the </w:t>
      </w:r>
      <w:r w:rsidR="00D25121">
        <w:rPr>
          <w:color w:val="000000"/>
          <w:sz w:val="22"/>
          <w:szCs w:val="22"/>
        </w:rPr>
        <w:t xml:space="preserve">Supreme Court’s interpretation of the </w:t>
      </w:r>
      <w:r w:rsidR="00F930C9">
        <w:rPr>
          <w:color w:val="000000"/>
          <w:sz w:val="22"/>
          <w:szCs w:val="22"/>
        </w:rPr>
        <w:t xml:space="preserve">Second Amendment.  </w:t>
      </w:r>
      <w:r w:rsidR="00F930C9" w:rsidRPr="00F930C9">
        <w:rPr>
          <w:color w:val="000000"/>
          <w:sz w:val="22"/>
          <w:szCs w:val="22"/>
        </w:rPr>
        <w:t xml:space="preserve">In the </w:t>
      </w:r>
      <w:r w:rsidR="00F930C9" w:rsidRPr="00F930C9">
        <w:rPr>
          <w:sz w:val="22"/>
          <w:szCs w:val="22"/>
        </w:rPr>
        <w:t>2008 ruling</w:t>
      </w:r>
      <w:r w:rsidRPr="00F930C9">
        <w:rPr>
          <w:sz w:val="22"/>
          <w:szCs w:val="22"/>
        </w:rPr>
        <w:t xml:space="preserve"> </w:t>
      </w:r>
      <w:r w:rsidR="00F930C9" w:rsidRPr="00F930C9">
        <w:rPr>
          <w:sz w:val="22"/>
          <w:szCs w:val="22"/>
        </w:rPr>
        <w:t xml:space="preserve">in </w:t>
      </w:r>
      <w:r w:rsidRPr="00F930C9">
        <w:rPr>
          <w:rStyle w:val="Emphasis"/>
          <w:sz w:val="22"/>
          <w:szCs w:val="22"/>
        </w:rPr>
        <w:t>District of Columbia v. Heller</w:t>
      </w:r>
      <w:r w:rsidR="002C6CC7">
        <w:rPr>
          <w:rStyle w:val="Emphasis"/>
          <w:sz w:val="22"/>
          <w:szCs w:val="22"/>
        </w:rPr>
        <w:t>,</w:t>
      </w:r>
      <w:r w:rsidRPr="00F930C9">
        <w:rPr>
          <w:sz w:val="22"/>
          <w:szCs w:val="22"/>
        </w:rPr>
        <w:t xml:space="preserve"> </w:t>
      </w:r>
      <w:r w:rsidR="00F930C9" w:rsidRPr="00F930C9">
        <w:rPr>
          <w:sz w:val="22"/>
          <w:szCs w:val="22"/>
        </w:rPr>
        <w:t xml:space="preserve">the United States Supreme Court stated </w:t>
      </w:r>
      <w:r w:rsidRPr="00F930C9">
        <w:rPr>
          <w:sz w:val="22"/>
          <w:szCs w:val="22"/>
        </w:rPr>
        <w:t>for the first time that the Second Amendment protects a law-abiding citizen’s right to possess an operable handgun in the home fo</w:t>
      </w:r>
      <w:r w:rsidRPr="002A5E9D">
        <w:rPr>
          <w:sz w:val="22"/>
          <w:szCs w:val="22"/>
        </w:rPr>
        <w:t>r self-defense.</w:t>
      </w:r>
      <w:r w:rsidR="00F930C9" w:rsidRPr="002A5E9D">
        <w:rPr>
          <w:rStyle w:val="FootnoteReference"/>
          <w:sz w:val="22"/>
          <w:szCs w:val="22"/>
        </w:rPr>
        <w:footnoteReference w:id="16"/>
      </w:r>
      <w:r w:rsidR="00F930C9" w:rsidRPr="002A5E9D">
        <w:rPr>
          <w:sz w:val="22"/>
          <w:szCs w:val="22"/>
        </w:rPr>
        <w:t xml:space="preserve">  </w:t>
      </w:r>
      <w:r w:rsidR="002A5E9D" w:rsidRPr="002A5E9D">
        <w:rPr>
          <w:sz w:val="22"/>
          <w:szCs w:val="22"/>
        </w:rPr>
        <w:t>The Court noted, however, that the right is limited. Among other limitations, the Court recognized that the Second Amendment would not preclude banning “dangerous and unusual weapons” such as M-16 rifle</w:t>
      </w:r>
      <w:r w:rsidR="002C6CC7">
        <w:rPr>
          <w:sz w:val="22"/>
          <w:szCs w:val="22"/>
        </w:rPr>
        <w:t>s</w:t>
      </w:r>
      <w:r w:rsidR="002A5E9D" w:rsidRPr="002A5E9D">
        <w:rPr>
          <w:sz w:val="22"/>
          <w:szCs w:val="22"/>
        </w:rPr>
        <w:t>.</w:t>
      </w:r>
      <w:r w:rsidR="002A5E9D">
        <w:rPr>
          <w:rStyle w:val="FootnoteReference"/>
          <w:sz w:val="22"/>
          <w:szCs w:val="22"/>
        </w:rPr>
        <w:footnoteReference w:id="17"/>
      </w:r>
    </w:p>
    <w:p w:rsidR="002A5E9D" w:rsidRDefault="002A5E9D" w:rsidP="00D25121">
      <w:pPr>
        <w:rPr>
          <w:sz w:val="22"/>
          <w:szCs w:val="22"/>
        </w:rPr>
      </w:pPr>
    </w:p>
    <w:p w:rsidR="002A5E9D" w:rsidRPr="00F731DA" w:rsidRDefault="002A5E9D" w:rsidP="00F731DA">
      <w:pPr>
        <w:pStyle w:val="NormalWeb"/>
        <w:rPr>
          <w:sz w:val="22"/>
          <w:szCs w:val="22"/>
        </w:rPr>
      </w:pPr>
      <w:r w:rsidRPr="002A5E9D">
        <w:rPr>
          <w:i/>
          <w:sz w:val="22"/>
          <w:szCs w:val="22"/>
        </w:rPr>
        <w:lastRenderedPageBreak/>
        <w:t>Whereas</w:t>
      </w:r>
      <w:r>
        <w:rPr>
          <w:sz w:val="22"/>
          <w:szCs w:val="22"/>
        </w:rPr>
        <w:t xml:space="preserve"> </w:t>
      </w:r>
      <w:r w:rsidR="00F731DA" w:rsidRPr="00F731DA">
        <w:rPr>
          <w:sz w:val="22"/>
          <w:szCs w:val="22"/>
        </w:rPr>
        <w:t xml:space="preserve">after the </w:t>
      </w:r>
      <w:r w:rsidR="00F731DA" w:rsidRPr="00F731DA">
        <w:rPr>
          <w:rStyle w:val="Emphasis"/>
          <w:sz w:val="22"/>
          <w:szCs w:val="22"/>
        </w:rPr>
        <w:t>Heller</w:t>
      </w:r>
      <w:r w:rsidR="00F731DA" w:rsidRPr="00F731DA">
        <w:rPr>
          <w:sz w:val="22"/>
          <w:szCs w:val="22"/>
        </w:rPr>
        <w:t xml:space="preserve"> decision, the District of Columbia adopted a set of strong new gun laws, including a measure prohibiting the possession of assault weapons and large capacity ammunition magazines</w:t>
      </w:r>
      <w:r w:rsidR="00F731DA">
        <w:rPr>
          <w:sz w:val="22"/>
          <w:szCs w:val="22"/>
        </w:rPr>
        <w:t>.  In 2011, t</w:t>
      </w:r>
      <w:r w:rsidR="00F731DA" w:rsidRPr="00F731DA">
        <w:rPr>
          <w:sz w:val="22"/>
          <w:szCs w:val="22"/>
        </w:rPr>
        <w:t>he D.C. Circuit Court of Appeals</w:t>
      </w:r>
      <w:r w:rsidR="00F731DA">
        <w:rPr>
          <w:sz w:val="22"/>
          <w:szCs w:val="22"/>
        </w:rPr>
        <w:t xml:space="preserve"> upheld these laws against a Second Amendment challenge.</w:t>
      </w:r>
      <w:r w:rsidR="00F731DA">
        <w:rPr>
          <w:rStyle w:val="FootnoteReference"/>
          <w:sz w:val="22"/>
          <w:szCs w:val="22"/>
        </w:rPr>
        <w:footnoteReference w:id="18"/>
      </w:r>
      <w:r w:rsidR="00F731DA">
        <w:rPr>
          <w:sz w:val="22"/>
          <w:szCs w:val="22"/>
        </w:rPr>
        <w:t xml:space="preserve"> </w:t>
      </w:r>
    </w:p>
    <w:p w:rsidR="00F930C9" w:rsidRPr="00F930C9" w:rsidRDefault="00F930C9" w:rsidP="00F930C9">
      <w:pPr>
        <w:rPr>
          <w:sz w:val="22"/>
          <w:szCs w:val="22"/>
        </w:rPr>
      </w:pPr>
    </w:p>
    <w:p w:rsidR="00FA17B5" w:rsidRPr="00FA17B5" w:rsidRDefault="000671E8" w:rsidP="00F930C9">
      <w:pPr>
        <w:autoSpaceDE w:val="0"/>
        <w:autoSpaceDN w:val="0"/>
        <w:adjustRightInd w:val="0"/>
        <w:rPr>
          <w:sz w:val="22"/>
          <w:szCs w:val="22"/>
        </w:rPr>
      </w:pPr>
      <w:r>
        <w:rPr>
          <w:i/>
          <w:color w:val="000000"/>
          <w:sz w:val="22"/>
        </w:rPr>
        <w:t xml:space="preserve">Whereas </w:t>
      </w:r>
      <w:r w:rsidR="007F4902">
        <w:rPr>
          <w:color w:val="000000"/>
          <w:sz w:val="22"/>
        </w:rPr>
        <w:t xml:space="preserve">a strong majority of </w:t>
      </w:r>
      <w:r w:rsidR="00684845">
        <w:rPr>
          <w:color w:val="000000"/>
          <w:sz w:val="22"/>
        </w:rPr>
        <w:t>Americans support</w:t>
      </w:r>
      <w:r w:rsidR="00F930C9">
        <w:rPr>
          <w:color w:val="000000"/>
          <w:sz w:val="22"/>
        </w:rPr>
        <w:t xml:space="preserve"> banning military-style </w:t>
      </w:r>
      <w:r w:rsidR="0050424C" w:rsidRPr="0050424C">
        <w:rPr>
          <w:color w:val="000000"/>
          <w:sz w:val="22"/>
        </w:rPr>
        <w:t>firearms.</w:t>
      </w:r>
      <w:r w:rsidR="0050424C">
        <w:rPr>
          <w:i/>
          <w:color w:val="000000"/>
          <w:sz w:val="22"/>
        </w:rPr>
        <w:t xml:space="preserve"> </w:t>
      </w:r>
      <w:r w:rsidR="0050424C">
        <w:rPr>
          <w:color w:val="000000"/>
          <w:sz w:val="22"/>
        </w:rPr>
        <w:t>A</w:t>
      </w:r>
      <w:r>
        <w:rPr>
          <w:color w:val="000000"/>
          <w:sz w:val="22"/>
        </w:rPr>
        <w:t xml:space="preserve">n </w:t>
      </w:r>
      <w:r>
        <w:rPr>
          <w:color w:val="000000"/>
          <w:sz w:val="22"/>
          <w:szCs w:val="22"/>
        </w:rPr>
        <w:t>August</w:t>
      </w:r>
      <w:r w:rsidRPr="000671E8">
        <w:rPr>
          <w:color w:val="000000"/>
          <w:sz w:val="22"/>
          <w:szCs w:val="22"/>
        </w:rPr>
        <w:t xml:space="preserve"> 2012 poll published by CNN/ORC International found that 57% of respondents favor </w:t>
      </w:r>
      <w:r w:rsidRPr="000671E8">
        <w:rPr>
          <w:sz w:val="22"/>
          <w:szCs w:val="22"/>
        </w:rPr>
        <w:t xml:space="preserve">banning the manufacture, sale and possession of semi-automatic assault weapons, such as the AK-47, and </w:t>
      </w:r>
      <w:r>
        <w:rPr>
          <w:sz w:val="22"/>
          <w:szCs w:val="22"/>
        </w:rPr>
        <w:t>60% favor</w:t>
      </w:r>
      <w:r w:rsidRPr="000671E8">
        <w:rPr>
          <w:sz w:val="22"/>
          <w:szCs w:val="22"/>
        </w:rPr>
        <w:t xml:space="preserve"> banning large capacity ammunition magazines </w:t>
      </w:r>
      <w:r>
        <w:rPr>
          <w:sz w:val="22"/>
          <w:szCs w:val="22"/>
        </w:rPr>
        <w:t xml:space="preserve">that can hold more than </w:t>
      </w:r>
      <w:r w:rsidRPr="000671E8">
        <w:rPr>
          <w:sz w:val="22"/>
          <w:szCs w:val="22"/>
        </w:rPr>
        <w:t>10 rounds of ammunition.</w:t>
      </w:r>
      <w:r w:rsidRPr="000671E8">
        <w:rPr>
          <w:rStyle w:val="FootnoteReference"/>
          <w:sz w:val="22"/>
          <w:szCs w:val="22"/>
        </w:rPr>
        <w:footnoteReference w:id="19"/>
      </w:r>
      <w:r w:rsidR="00FA17B5">
        <w:rPr>
          <w:sz w:val="22"/>
          <w:szCs w:val="22"/>
        </w:rPr>
        <w:t xml:space="preserve">  </w:t>
      </w:r>
      <w:r w:rsidR="00FA17B5" w:rsidRPr="00FA17B5">
        <w:rPr>
          <w:sz w:val="22"/>
          <w:szCs w:val="22"/>
        </w:rPr>
        <w:t>A Field &amp; Stream poll revealed that sixty-seven percent of its readers did not consider assault weapons to be legitimate sporting guns.</w:t>
      </w:r>
      <w:r w:rsidR="00FA17B5" w:rsidRPr="00FA17B5">
        <w:rPr>
          <w:rStyle w:val="FootnoteReference"/>
          <w:sz w:val="22"/>
          <w:szCs w:val="22"/>
        </w:rPr>
        <w:footnoteReference w:id="20"/>
      </w:r>
      <w:r w:rsidR="00FA17B5" w:rsidRPr="00FA17B5">
        <w:rPr>
          <w:sz w:val="22"/>
          <w:szCs w:val="22"/>
        </w:rPr>
        <w:t xml:space="preserve">  </w:t>
      </w:r>
    </w:p>
    <w:p w:rsidR="000671E8" w:rsidRDefault="000671E8">
      <w:pPr>
        <w:rPr>
          <w:i/>
          <w:color w:val="000000"/>
          <w:sz w:val="22"/>
        </w:rPr>
      </w:pPr>
    </w:p>
    <w:p w:rsidR="00C02925" w:rsidRDefault="00684845">
      <w:pPr>
        <w:rPr>
          <w:color w:val="000000"/>
          <w:sz w:val="22"/>
        </w:rPr>
      </w:pPr>
      <w:r>
        <w:rPr>
          <w:i/>
          <w:color w:val="000000"/>
          <w:sz w:val="22"/>
        </w:rPr>
        <w:t>W</w:t>
      </w:r>
      <w:r w:rsidR="00C02925">
        <w:rPr>
          <w:i/>
          <w:color w:val="000000"/>
          <w:sz w:val="22"/>
        </w:rPr>
        <w:t>hereas</w:t>
      </w:r>
      <w:r w:rsidR="00C02925">
        <w:rPr>
          <w:color w:val="000000"/>
          <w:sz w:val="22"/>
        </w:rPr>
        <w:t xml:space="preserve"> the wide availability of assault weapons is a serious risk to public health and safety;</w:t>
      </w:r>
    </w:p>
    <w:p w:rsidR="00C02925" w:rsidRDefault="00C02925">
      <w:pPr>
        <w:rPr>
          <w:color w:val="000000"/>
          <w:sz w:val="22"/>
        </w:rPr>
      </w:pPr>
    </w:p>
    <w:p w:rsidR="00C02925" w:rsidRDefault="00C02925">
      <w:pPr>
        <w:rPr>
          <w:color w:val="000000"/>
          <w:sz w:val="22"/>
        </w:rPr>
      </w:pPr>
      <w:r>
        <w:rPr>
          <w:i/>
          <w:color w:val="000000"/>
          <w:sz w:val="22"/>
        </w:rPr>
        <w:t>Therefore</w:t>
      </w:r>
      <w:r>
        <w:rPr>
          <w:color w:val="000000"/>
          <w:sz w:val="22"/>
        </w:rPr>
        <w:t xml:space="preserve">, the </w:t>
      </w:r>
      <w:r>
        <w:rPr>
          <w:color w:val="000000"/>
          <w:sz w:val="22"/>
          <w:u w:val="single"/>
        </w:rPr>
        <w:t>State legislature/County or City governing body</w:t>
      </w:r>
      <w:r>
        <w:rPr>
          <w:color w:val="000000"/>
          <w:sz w:val="22"/>
        </w:rPr>
        <w:t xml:space="preserve"> hereby adopts the following: </w:t>
      </w:r>
    </w:p>
    <w:p w:rsidR="00C02925" w:rsidRDefault="00C02925">
      <w:pPr>
        <w:rPr>
          <w:color w:val="000000"/>
          <w:sz w:val="22"/>
        </w:rPr>
      </w:pPr>
    </w:p>
    <w:p w:rsidR="00C02925" w:rsidRDefault="00C02925">
      <w:pPr>
        <w:rPr>
          <w:b/>
          <w:sz w:val="22"/>
        </w:rPr>
      </w:pPr>
      <w:r>
        <w:rPr>
          <w:b/>
          <w:sz w:val="22"/>
        </w:rPr>
        <w:t>2.</w:t>
      </w:r>
      <w:r>
        <w:rPr>
          <w:b/>
          <w:sz w:val="22"/>
        </w:rPr>
        <w:tab/>
        <w:t>Definitions</w:t>
      </w:r>
    </w:p>
    <w:p w:rsidR="00C02925" w:rsidRDefault="00C02925">
      <w:pPr>
        <w:rPr>
          <w:sz w:val="22"/>
        </w:rPr>
      </w:pPr>
    </w:p>
    <w:p w:rsidR="00C02925" w:rsidRDefault="00C02925">
      <w:pPr>
        <w:rPr>
          <w:sz w:val="22"/>
        </w:rPr>
      </w:pPr>
      <w:r>
        <w:rPr>
          <w:sz w:val="22"/>
        </w:rPr>
        <w:t>(a)  “Assault weapon” means any:</w:t>
      </w:r>
    </w:p>
    <w:p w:rsidR="00C02925" w:rsidRDefault="00C02925">
      <w:pPr>
        <w:rPr>
          <w:sz w:val="22"/>
        </w:rPr>
      </w:pPr>
    </w:p>
    <w:p w:rsidR="00C02925" w:rsidRDefault="00C02925">
      <w:pPr>
        <w:ind w:left="720"/>
        <w:rPr>
          <w:sz w:val="22"/>
        </w:rPr>
      </w:pPr>
      <w:r>
        <w:rPr>
          <w:sz w:val="22"/>
        </w:rPr>
        <w:t>(1)  Semi-automatic rifle that has the capacity to accept a detachable magazine and has one or more of the following:</w:t>
      </w:r>
    </w:p>
    <w:p w:rsidR="00C02925" w:rsidRDefault="00C02925">
      <w:pPr>
        <w:tabs>
          <w:tab w:val="left" w:pos="1440"/>
          <w:tab w:val="left" w:pos="1890"/>
        </w:tabs>
        <w:ind w:firstLine="720"/>
        <w:rPr>
          <w:sz w:val="22"/>
        </w:rPr>
      </w:pPr>
      <w:r>
        <w:rPr>
          <w:sz w:val="22"/>
        </w:rPr>
        <w:tab/>
        <w:t>(i)</w:t>
      </w:r>
      <w:r>
        <w:rPr>
          <w:sz w:val="22"/>
        </w:rPr>
        <w:tab/>
        <w:t>A pistol grip</w:t>
      </w:r>
      <w:r w:rsidR="00260031">
        <w:rPr>
          <w:sz w:val="22"/>
        </w:rPr>
        <w:t xml:space="preserve"> or thumbhole stock</w:t>
      </w:r>
      <w:r>
        <w:rPr>
          <w:sz w:val="22"/>
        </w:rPr>
        <w:t xml:space="preserve">; </w:t>
      </w:r>
    </w:p>
    <w:p w:rsidR="00C02925" w:rsidRDefault="00C02925">
      <w:pPr>
        <w:tabs>
          <w:tab w:val="left" w:pos="1440"/>
          <w:tab w:val="left" w:pos="1890"/>
        </w:tabs>
        <w:ind w:firstLine="720"/>
        <w:rPr>
          <w:sz w:val="22"/>
        </w:rPr>
      </w:pPr>
      <w:r>
        <w:rPr>
          <w:sz w:val="22"/>
        </w:rPr>
        <w:tab/>
        <w:t>(ii)</w:t>
      </w:r>
      <w:r>
        <w:rPr>
          <w:sz w:val="22"/>
        </w:rPr>
        <w:tab/>
        <w:t>Any feature capable of functioning as a protruding grip that can be held by the non-</w:t>
      </w:r>
      <w:r>
        <w:rPr>
          <w:sz w:val="22"/>
        </w:rPr>
        <w:tab/>
      </w:r>
      <w:r>
        <w:rPr>
          <w:sz w:val="22"/>
        </w:rPr>
        <w:tab/>
        <w:t>trigger hand;</w:t>
      </w:r>
    </w:p>
    <w:p w:rsidR="00C02925" w:rsidRDefault="00260031">
      <w:pPr>
        <w:tabs>
          <w:tab w:val="left" w:pos="1440"/>
          <w:tab w:val="left" w:pos="1890"/>
        </w:tabs>
        <w:ind w:firstLine="720"/>
        <w:rPr>
          <w:sz w:val="22"/>
        </w:rPr>
      </w:pPr>
      <w:r>
        <w:rPr>
          <w:sz w:val="22"/>
        </w:rPr>
        <w:tab/>
        <w:t>(iii)</w:t>
      </w:r>
      <w:r>
        <w:rPr>
          <w:sz w:val="22"/>
        </w:rPr>
        <w:tab/>
        <w:t xml:space="preserve">A folding or </w:t>
      </w:r>
      <w:r w:rsidR="00C02925">
        <w:rPr>
          <w:sz w:val="22"/>
        </w:rPr>
        <w:t>telescoping stock;</w:t>
      </w:r>
    </w:p>
    <w:p w:rsidR="00C02925" w:rsidRDefault="00C02925">
      <w:pPr>
        <w:tabs>
          <w:tab w:val="left" w:pos="1440"/>
          <w:tab w:val="left" w:pos="1890"/>
        </w:tabs>
        <w:ind w:left="1440"/>
        <w:rPr>
          <w:sz w:val="22"/>
        </w:rPr>
      </w:pPr>
      <w:r>
        <w:rPr>
          <w:sz w:val="22"/>
        </w:rPr>
        <w:t>(iv)</w:t>
      </w:r>
      <w:r>
        <w:rPr>
          <w:sz w:val="22"/>
        </w:rPr>
        <w:tab/>
        <w:t>A shroud attached to the barrel, or that partially or completely encircles the barrel, allowing the bearer to hold the firearm with the non-trigger hand without being burned, but excluding a sl</w:t>
      </w:r>
      <w:r w:rsidR="00260031">
        <w:rPr>
          <w:sz w:val="22"/>
        </w:rPr>
        <w:t xml:space="preserve">ide that encloses the barrel; </w:t>
      </w:r>
    </w:p>
    <w:p w:rsidR="00EC5FEB" w:rsidRDefault="00EC5FEB">
      <w:pPr>
        <w:tabs>
          <w:tab w:val="left" w:pos="1440"/>
          <w:tab w:val="left" w:pos="1890"/>
        </w:tabs>
        <w:ind w:left="1440"/>
        <w:rPr>
          <w:sz w:val="22"/>
        </w:rPr>
      </w:pPr>
    </w:p>
    <w:p w:rsidR="00C02925" w:rsidRDefault="00C02925">
      <w:pPr>
        <w:ind w:left="720"/>
        <w:rPr>
          <w:sz w:val="22"/>
        </w:rPr>
      </w:pPr>
      <w:r>
        <w:rPr>
          <w:sz w:val="22"/>
        </w:rPr>
        <w:t xml:space="preserve">(2)  Semi-automatic pistol, or any semi-automatic, </w:t>
      </w:r>
      <w:r>
        <w:rPr>
          <w:color w:val="000000"/>
          <w:sz w:val="22"/>
        </w:rPr>
        <w:t>centerfire</w:t>
      </w:r>
      <w:r w:rsidR="00260031">
        <w:rPr>
          <w:color w:val="000000"/>
          <w:sz w:val="22"/>
        </w:rPr>
        <w:t xml:space="preserve"> or rimfire</w:t>
      </w:r>
      <w:r>
        <w:rPr>
          <w:color w:val="000000"/>
          <w:sz w:val="22"/>
        </w:rPr>
        <w:t xml:space="preserve"> </w:t>
      </w:r>
      <w:r>
        <w:rPr>
          <w:sz w:val="22"/>
        </w:rPr>
        <w:t>rifle with a fixed magazine, that has the capacity to accept more than 10 rounds of ammunition;</w:t>
      </w:r>
    </w:p>
    <w:p w:rsidR="00C02925" w:rsidRDefault="00C02925">
      <w:pPr>
        <w:ind w:left="720"/>
        <w:rPr>
          <w:sz w:val="22"/>
        </w:rPr>
      </w:pPr>
    </w:p>
    <w:p w:rsidR="00C02925" w:rsidRDefault="00C02925">
      <w:pPr>
        <w:ind w:left="720"/>
        <w:rPr>
          <w:sz w:val="22"/>
        </w:rPr>
      </w:pPr>
      <w:r>
        <w:rPr>
          <w:sz w:val="22"/>
        </w:rPr>
        <w:t xml:space="preserve">(3)  Semi-automatic pistol that has the capacity to accept a detachable magazine and has one or more of the following: </w:t>
      </w:r>
    </w:p>
    <w:p w:rsidR="00C02925" w:rsidRDefault="00C02925">
      <w:pPr>
        <w:tabs>
          <w:tab w:val="left" w:pos="1890"/>
        </w:tabs>
        <w:ind w:left="1440"/>
        <w:rPr>
          <w:sz w:val="22"/>
        </w:rPr>
      </w:pPr>
      <w:r>
        <w:rPr>
          <w:sz w:val="22"/>
        </w:rPr>
        <w:t>(i)</w:t>
      </w:r>
      <w:r>
        <w:rPr>
          <w:sz w:val="22"/>
        </w:rPr>
        <w:tab/>
        <w:t>Any feature capable of functioning as a protruding grip that can be held by the non-trigger hand;</w:t>
      </w:r>
    </w:p>
    <w:p w:rsidR="00C02925" w:rsidRDefault="00C02925">
      <w:pPr>
        <w:tabs>
          <w:tab w:val="left" w:pos="1440"/>
          <w:tab w:val="left" w:pos="1890"/>
        </w:tabs>
        <w:ind w:firstLine="720"/>
        <w:rPr>
          <w:sz w:val="22"/>
        </w:rPr>
      </w:pPr>
      <w:r>
        <w:rPr>
          <w:sz w:val="22"/>
        </w:rPr>
        <w:tab/>
        <w:t>(ii)</w:t>
      </w:r>
      <w:r>
        <w:rPr>
          <w:sz w:val="22"/>
        </w:rPr>
        <w:tab/>
        <w:t>A folding, telescoping or thumbhole stock;</w:t>
      </w:r>
    </w:p>
    <w:p w:rsidR="00C02925" w:rsidRDefault="00C02925">
      <w:pPr>
        <w:tabs>
          <w:tab w:val="left" w:pos="1890"/>
        </w:tabs>
        <w:ind w:left="1440"/>
        <w:rPr>
          <w:color w:val="000000"/>
          <w:sz w:val="22"/>
        </w:rPr>
      </w:pPr>
      <w:r>
        <w:rPr>
          <w:sz w:val="22"/>
        </w:rPr>
        <w:t>(iii)</w:t>
      </w:r>
      <w:r>
        <w:rPr>
          <w:sz w:val="22"/>
        </w:rPr>
        <w:tab/>
        <w:t xml:space="preserve">A shroud attached to the barrel, or that partially or completely encircles the barrel, allowing the bearer to hold the firearm with the non-trigger hand without being burned, </w:t>
      </w:r>
      <w:r>
        <w:rPr>
          <w:color w:val="000000"/>
          <w:sz w:val="22"/>
        </w:rPr>
        <w:t>but excluding a slide that encloses the barrel;</w:t>
      </w:r>
      <w:r w:rsidR="00260031">
        <w:rPr>
          <w:color w:val="000000"/>
          <w:sz w:val="22"/>
        </w:rPr>
        <w:t xml:space="preserve"> or</w:t>
      </w:r>
    </w:p>
    <w:p w:rsidR="00C02925" w:rsidRDefault="00C02925">
      <w:pPr>
        <w:tabs>
          <w:tab w:val="left" w:pos="1890"/>
        </w:tabs>
        <w:ind w:left="1440"/>
        <w:rPr>
          <w:color w:val="000000"/>
          <w:sz w:val="22"/>
        </w:rPr>
      </w:pPr>
      <w:r>
        <w:rPr>
          <w:color w:val="000000"/>
          <w:sz w:val="22"/>
        </w:rPr>
        <w:t>(</w:t>
      </w:r>
      <w:r w:rsidR="00260031">
        <w:rPr>
          <w:color w:val="000000"/>
          <w:sz w:val="22"/>
        </w:rPr>
        <w:t>i</w:t>
      </w:r>
      <w:r>
        <w:rPr>
          <w:color w:val="000000"/>
          <w:sz w:val="22"/>
        </w:rPr>
        <w:t>v)</w:t>
      </w:r>
      <w:r>
        <w:rPr>
          <w:color w:val="000000"/>
          <w:sz w:val="22"/>
        </w:rPr>
        <w:tab/>
        <w:t>The capacity to accept a detachable magazine at any location outside of the pistol grip;</w:t>
      </w:r>
    </w:p>
    <w:p w:rsidR="00C02925" w:rsidRDefault="00C02925">
      <w:pPr>
        <w:ind w:firstLine="720"/>
        <w:rPr>
          <w:sz w:val="22"/>
        </w:rPr>
      </w:pPr>
      <w:r>
        <w:rPr>
          <w:sz w:val="22"/>
        </w:rPr>
        <w:tab/>
      </w:r>
    </w:p>
    <w:p w:rsidR="00C02925" w:rsidRDefault="00C02925">
      <w:pPr>
        <w:ind w:firstLine="720"/>
        <w:rPr>
          <w:sz w:val="22"/>
        </w:rPr>
      </w:pPr>
      <w:r>
        <w:rPr>
          <w:sz w:val="22"/>
        </w:rPr>
        <w:t>(4)  Semi-automatic shotgun that has one or more of the following:</w:t>
      </w:r>
    </w:p>
    <w:p w:rsidR="00C02925" w:rsidRDefault="00C02925">
      <w:pPr>
        <w:tabs>
          <w:tab w:val="left" w:pos="1890"/>
        </w:tabs>
        <w:ind w:left="1440"/>
        <w:rPr>
          <w:sz w:val="22"/>
        </w:rPr>
      </w:pPr>
      <w:r>
        <w:rPr>
          <w:sz w:val="22"/>
        </w:rPr>
        <w:t xml:space="preserve">(i) </w:t>
      </w:r>
      <w:r>
        <w:rPr>
          <w:sz w:val="22"/>
        </w:rPr>
        <w:tab/>
        <w:t>A pistol grip</w:t>
      </w:r>
      <w:r w:rsidR="00260031">
        <w:rPr>
          <w:sz w:val="22"/>
        </w:rPr>
        <w:t xml:space="preserve"> or thumbhole stock</w:t>
      </w:r>
      <w:r>
        <w:rPr>
          <w:sz w:val="22"/>
        </w:rPr>
        <w:t>;</w:t>
      </w:r>
    </w:p>
    <w:p w:rsidR="00C02925" w:rsidRDefault="00C02925">
      <w:pPr>
        <w:tabs>
          <w:tab w:val="left" w:pos="1890"/>
        </w:tabs>
        <w:ind w:left="1440"/>
        <w:rPr>
          <w:sz w:val="22"/>
        </w:rPr>
      </w:pPr>
      <w:r>
        <w:rPr>
          <w:sz w:val="22"/>
        </w:rPr>
        <w:lastRenderedPageBreak/>
        <w:t>(ii)</w:t>
      </w:r>
      <w:r>
        <w:rPr>
          <w:sz w:val="22"/>
        </w:rPr>
        <w:tab/>
        <w:t>Any feature capable of functioning as a protruding grip that can be held by the non-trigger hand;</w:t>
      </w:r>
    </w:p>
    <w:p w:rsidR="00C02925" w:rsidRDefault="00C02925">
      <w:pPr>
        <w:tabs>
          <w:tab w:val="left" w:pos="1890"/>
        </w:tabs>
        <w:ind w:left="1440"/>
        <w:rPr>
          <w:sz w:val="22"/>
        </w:rPr>
      </w:pPr>
      <w:r>
        <w:rPr>
          <w:sz w:val="22"/>
        </w:rPr>
        <w:t>(ii</w:t>
      </w:r>
      <w:r w:rsidR="00260031">
        <w:rPr>
          <w:sz w:val="22"/>
        </w:rPr>
        <w:t xml:space="preserve">i)  </w:t>
      </w:r>
      <w:r w:rsidR="00260031">
        <w:rPr>
          <w:sz w:val="22"/>
        </w:rPr>
        <w:tab/>
        <w:t xml:space="preserve">A folding or </w:t>
      </w:r>
      <w:r>
        <w:rPr>
          <w:sz w:val="22"/>
        </w:rPr>
        <w:t>telescoping stock;</w:t>
      </w:r>
    </w:p>
    <w:p w:rsidR="00C02925" w:rsidRDefault="00C02925">
      <w:pPr>
        <w:tabs>
          <w:tab w:val="left" w:pos="1890"/>
        </w:tabs>
        <w:ind w:left="1440"/>
        <w:rPr>
          <w:sz w:val="22"/>
        </w:rPr>
      </w:pPr>
      <w:r>
        <w:rPr>
          <w:sz w:val="22"/>
        </w:rPr>
        <w:t>(iv)</w:t>
      </w:r>
      <w:r>
        <w:rPr>
          <w:sz w:val="22"/>
        </w:rPr>
        <w:tab/>
        <w:t>A fixed magazine capacity in excess of 5 rounds; or</w:t>
      </w:r>
    </w:p>
    <w:p w:rsidR="00C02925" w:rsidRDefault="00C02925">
      <w:pPr>
        <w:tabs>
          <w:tab w:val="left" w:pos="1890"/>
        </w:tabs>
        <w:ind w:left="1440"/>
        <w:rPr>
          <w:sz w:val="22"/>
        </w:rPr>
      </w:pPr>
      <w:r>
        <w:rPr>
          <w:sz w:val="22"/>
        </w:rPr>
        <w:t>(v)</w:t>
      </w:r>
      <w:r>
        <w:rPr>
          <w:sz w:val="22"/>
        </w:rPr>
        <w:tab/>
        <w:t>An ability to accept a detachable magazine;</w:t>
      </w:r>
    </w:p>
    <w:p w:rsidR="00C02925" w:rsidRDefault="00C02925">
      <w:pPr>
        <w:ind w:left="360"/>
        <w:rPr>
          <w:sz w:val="22"/>
        </w:rPr>
      </w:pPr>
    </w:p>
    <w:p w:rsidR="00C02925" w:rsidRDefault="00C02925">
      <w:pPr>
        <w:ind w:left="2592" w:hanging="1872"/>
        <w:rPr>
          <w:sz w:val="22"/>
        </w:rPr>
      </w:pPr>
      <w:r>
        <w:rPr>
          <w:sz w:val="22"/>
        </w:rPr>
        <w:t>(5)  Shotgun with a revolving cylinder;</w:t>
      </w:r>
    </w:p>
    <w:p w:rsidR="00C02925" w:rsidRDefault="00C02925">
      <w:pPr>
        <w:ind w:firstLine="720"/>
        <w:rPr>
          <w:sz w:val="22"/>
        </w:rPr>
      </w:pPr>
      <w:r>
        <w:rPr>
          <w:sz w:val="22"/>
        </w:rPr>
        <w:tab/>
      </w:r>
      <w:r>
        <w:rPr>
          <w:sz w:val="22"/>
        </w:rPr>
        <w:tab/>
      </w:r>
    </w:p>
    <w:p w:rsidR="00C02925" w:rsidRDefault="00C02925">
      <w:pPr>
        <w:ind w:left="720"/>
        <w:rPr>
          <w:color w:val="008000"/>
          <w:sz w:val="22"/>
        </w:rPr>
      </w:pPr>
      <w:r>
        <w:rPr>
          <w:sz w:val="22"/>
        </w:rPr>
        <w:t>(6)  C</w:t>
      </w:r>
      <w:r>
        <w:rPr>
          <w:color w:val="000000"/>
          <w:sz w:val="22"/>
        </w:rPr>
        <w:t>onversion kit, part, or combination of parts, from which an assault weapon can be assembled if those parts are in the possession or under the control of the same person.</w:t>
      </w:r>
    </w:p>
    <w:p w:rsidR="00C02925" w:rsidRDefault="00C02925">
      <w:pPr>
        <w:ind w:firstLine="720"/>
        <w:rPr>
          <w:sz w:val="22"/>
        </w:rPr>
      </w:pPr>
    </w:p>
    <w:p w:rsidR="00C02925" w:rsidRDefault="00C02925">
      <w:pPr>
        <w:rPr>
          <w:sz w:val="22"/>
        </w:rPr>
      </w:pPr>
      <w:r>
        <w:rPr>
          <w:sz w:val="22"/>
        </w:rPr>
        <w:t xml:space="preserve">(b)  “Assault weapon” does not include any firearm that has been made permanently inoperable.  </w:t>
      </w:r>
    </w:p>
    <w:p w:rsidR="00C02925" w:rsidRDefault="00C02925">
      <w:pPr>
        <w:rPr>
          <w:color w:val="000000"/>
          <w:sz w:val="22"/>
        </w:rPr>
      </w:pPr>
    </w:p>
    <w:p w:rsidR="00C02925" w:rsidRDefault="00C02925">
      <w:pPr>
        <w:ind w:left="720"/>
        <w:rPr>
          <w:color w:val="000000"/>
          <w:sz w:val="22"/>
        </w:rPr>
      </w:pPr>
      <w:r>
        <w:rPr>
          <w:color w:val="000000"/>
          <w:sz w:val="22"/>
        </w:rPr>
        <w:t>[Note:  Some jurisdictions exclude from the definition of “assault weapon” antique firearms (generally meaning firearms manufactured before 1899, although sometimes including replica firearms) and weapons designed for Olympic target shooting events.  However, these exceptions are not required.  Such categories of assault weapons also can be subject to registration rather than an outright ban.]</w:t>
      </w:r>
    </w:p>
    <w:p w:rsidR="00C02925" w:rsidRDefault="00C02925">
      <w:pPr>
        <w:ind w:firstLine="720"/>
        <w:rPr>
          <w:color w:val="000000"/>
          <w:sz w:val="22"/>
        </w:rPr>
      </w:pPr>
      <w:r>
        <w:rPr>
          <w:color w:val="000000"/>
          <w:sz w:val="22"/>
        </w:rPr>
        <w:tab/>
      </w:r>
    </w:p>
    <w:p w:rsidR="0012581B" w:rsidRPr="001C73F2" w:rsidRDefault="0012581B" w:rsidP="0012581B">
      <w:pPr>
        <w:rPr>
          <w:sz w:val="22"/>
          <w:szCs w:val="22"/>
        </w:rPr>
      </w:pPr>
      <w:r w:rsidRPr="0012581B">
        <w:rPr>
          <w:sz w:val="22"/>
          <w:szCs w:val="22"/>
        </w:rPr>
        <w:t>(c) “Detachable Magazine” means an ammunition feeding device that can be loaded or unloaded while detached from a firearm and readily inserted into a firearm</w:t>
      </w:r>
      <w:r w:rsidR="001C73F2">
        <w:rPr>
          <w:sz w:val="22"/>
          <w:szCs w:val="22"/>
        </w:rPr>
        <w:t xml:space="preserve"> </w:t>
      </w:r>
      <w:r w:rsidR="001C73F2" w:rsidRPr="001C73F2">
        <w:rPr>
          <w:sz w:val="22"/>
          <w:szCs w:val="22"/>
        </w:rPr>
        <w:t>and includes a magazine that can be detached by merely depressing a button on the firearm either with a finger or by use of a tool or bullet.</w:t>
      </w:r>
    </w:p>
    <w:p w:rsidR="0012581B" w:rsidRDefault="0012581B" w:rsidP="0012581B">
      <w:pPr>
        <w:ind w:left="720"/>
      </w:pPr>
    </w:p>
    <w:p w:rsidR="0012581B" w:rsidRPr="0012581B" w:rsidRDefault="0012581B" w:rsidP="0012581B">
      <w:pPr>
        <w:rPr>
          <w:sz w:val="22"/>
          <w:szCs w:val="22"/>
        </w:rPr>
      </w:pPr>
      <w:r w:rsidRPr="0012581B">
        <w:rPr>
          <w:sz w:val="22"/>
          <w:szCs w:val="22"/>
        </w:rPr>
        <w:t>(d) “Fixed Magazine” means an ammunition feeding device contained in, or permanently attached to, a firearm in such a manner that the device cannot</w:t>
      </w:r>
      <w:r w:rsidR="00BD570B">
        <w:rPr>
          <w:sz w:val="22"/>
          <w:szCs w:val="22"/>
        </w:rPr>
        <w:t xml:space="preserve"> be removed without disassembly </w:t>
      </w:r>
      <w:r w:rsidRPr="0012581B">
        <w:rPr>
          <w:sz w:val="22"/>
          <w:szCs w:val="22"/>
        </w:rPr>
        <w:t>of the firearm action.</w:t>
      </w:r>
    </w:p>
    <w:p w:rsidR="00C02925" w:rsidRDefault="00C02925">
      <w:pPr>
        <w:rPr>
          <w:sz w:val="22"/>
        </w:rPr>
      </w:pPr>
    </w:p>
    <w:p w:rsidR="00C02925" w:rsidRDefault="0012581B">
      <w:pPr>
        <w:rPr>
          <w:sz w:val="22"/>
        </w:rPr>
      </w:pPr>
      <w:r>
        <w:rPr>
          <w:sz w:val="22"/>
        </w:rPr>
        <w:t>(e</w:t>
      </w:r>
      <w:r w:rsidR="00C02925">
        <w:rPr>
          <w:sz w:val="22"/>
        </w:rPr>
        <w:t xml:space="preserve">)  “Large capacity magazine” means any ammunition feeding device with the capacity to accept more than 10 rounds, but shall not be construed to include any of the following: </w:t>
      </w:r>
    </w:p>
    <w:p w:rsidR="00C02925" w:rsidRDefault="00C02925">
      <w:pPr>
        <w:rPr>
          <w:sz w:val="22"/>
        </w:rPr>
      </w:pPr>
    </w:p>
    <w:p w:rsidR="00C02925" w:rsidRDefault="00C02925">
      <w:pPr>
        <w:ind w:left="720"/>
        <w:rPr>
          <w:sz w:val="22"/>
        </w:rPr>
      </w:pPr>
      <w:r>
        <w:rPr>
          <w:sz w:val="22"/>
        </w:rPr>
        <w:t xml:space="preserve">(1) </w:t>
      </w:r>
      <w:r w:rsidR="00A06B24">
        <w:rPr>
          <w:sz w:val="22"/>
        </w:rPr>
        <w:t xml:space="preserve"> </w:t>
      </w:r>
      <w:r>
        <w:rPr>
          <w:sz w:val="22"/>
        </w:rPr>
        <w:t xml:space="preserve">A feeding device that has been permanently altered so that it cannot accommodate more than 10 rounds. </w:t>
      </w:r>
    </w:p>
    <w:p w:rsidR="00C02925" w:rsidRDefault="00C02925">
      <w:pPr>
        <w:ind w:left="720"/>
        <w:rPr>
          <w:sz w:val="22"/>
        </w:rPr>
      </w:pPr>
    </w:p>
    <w:p w:rsidR="00C02925" w:rsidRDefault="00C02925">
      <w:pPr>
        <w:ind w:left="720"/>
        <w:rPr>
          <w:sz w:val="22"/>
        </w:rPr>
      </w:pPr>
      <w:r>
        <w:rPr>
          <w:sz w:val="22"/>
        </w:rPr>
        <w:t xml:space="preserve">(2) </w:t>
      </w:r>
      <w:r w:rsidR="00A06B24">
        <w:rPr>
          <w:sz w:val="22"/>
        </w:rPr>
        <w:t xml:space="preserve"> </w:t>
      </w:r>
      <w:r>
        <w:rPr>
          <w:sz w:val="22"/>
        </w:rPr>
        <w:t xml:space="preserve">A 22 caliber tube ammunition feeding device. </w:t>
      </w:r>
    </w:p>
    <w:p w:rsidR="00C02925" w:rsidRDefault="00C02925">
      <w:pPr>
        <w:ind w:left="720"/>
        <w:rPr>
          <w:sz w:val="22"/>
        </w:rPr>
      </w:pPr>
    </w:p>
    <w:p w:rsidR="00C02925" w:rsidRDefault="00C02925">
      <w:pPr>
        <w:ind w:left="720"/>
        <w:rPr>
          <w:sz w:val="22"/>
        </w:rPr>
      </w:pPr>
      <w:r>
        <w:rPr>
          <w:sz w:val="22"/>
        </w:rPr>
        <w:t xml:space="preserve">(3) </w:t>
      </w:r>
      <w:r w:rsidR="00A06B24">
        <w:rPr>
          <w:sz w:val="22"/>
        </w:rPr>
        <w:t xml:space="preserve"> </w:t>
      </w:r>
      <w:r>
        <w:rPr>
          <w:sz w:val="22"/>
        </w:rPr>
        <w:t xml:space="preserve">A tubular magazine that is contained in a lever-action firearm. </w:t>
      </w:r>
    </w:p>
    <w:p w:rsidR="00C02925" w:rsidRDefault="00C02925">
      <w:pPr>
        <w:rPr>
          <w:sz w:val="22"/>
        </w:rPr>
      </w:pPr>
    </w:p>
    <w:p w:rsidR="00C02925" w:rsidRDefault="00C02925">
      <w:pPr>
        <w:rPr>
          <w:b/>
          <w:sz w:val="22"/>
        </w:rPr>
      </w:pPr>
      <w:r>
        <w:rPr>
          <w:b/>
          <w:sz w:val="22"/>
        </w:rPr>
        <w:t>3.</w:t>
      </w:r>
      <w:r>
        <w:rPr>
          <w:b/>
          <w:sz w:val="22"/>
        </w:rPr>
        <w:tab/>
        <w:t>Prohibitions</w:t>
      </w:r>
    </w:p>
    <w:p w:rsidR="00C02925" w:rsidRDefault="00C02925">
      <w:pPr>
        <w:rPr>
          <w:sz w:val="22"/>
        </w:rPr>
      </w:pPr>
    </w:p>
    <w:p w:rsidR="00C02925" w:rsidRDefault="00C02925">
      <w:pPr>
        <w:rPr>
          <w:sz w:val="22"/>
        </w:rPr>
      </w:pPr>
      <w:r>
        <w:rPr>
          <w:sz w:val="22"/>
        </w:rPr>
        <w:t xml:space="preserve">(a)  No person, corporation or other entity in the </w:t>
      </w:r>
      <w:smartTag w:uri="urn:schemas-microsoft-com:office:smarttags" w:element="place">
        <w:smartTag w:uri="urn:schemas-microsoft-com:office:smarttags" w:element="PlaceType">
          <w:r>
            <w:rPr>
              <w:color w:val="000000"/>
              <w:sz w:val="22"/>
              <w:u w:val="single"/>
            </w:rPr>
            <w:t>State</w:t>
          </w:r>
        </w:smartTag>
        <w:smartTag w:uri="urn:schemas-microsoft-com:office:smarttags" w:element="PlaceName">
          <w:r>
            <w:rPr>
              <w:color w:val="000000"/>
              <w:sz w:val="22"/>
              <w:u w:val="single"/>
            </w:rPr>
            <w:t>/County/</w:t>
          </w:r>
        </w:smartTag>
        <w:smartTag w:uri="urn:schemas-microsoft-com:office:smarttags" w:element="PlaceType">
          <w:r>
            <w:rPr>
              <w:color w:val="000000"/>
              <w:sz w:val="22"/>
              <w:u w:val="single"/>
            </w:rPr>
            <w:t>City</w:t>
          </w:r>
        </w:smartTag>
      </w:smartTag>
      <w:r>
        <w:rPr>
          <w:color w:val="000000"/>
          <w:sz w:val="22"/>
        </w:rPr>
        <w:t xml:space="preserve"> </w:t>
      </w:r>
      <w:r>
        <w:rPr>
          <w:sz w:val="22"/>
        </w:rPr>
        <w:t xml:space="preserve">may manufacture, import, possess, purchase, sell or transfer any assault weapon or large capacity magazine.  </w:t>
      </w:r>
    </w:p>
    <w:p w:rsidR="00C02925" w:rsidRDefault="00C02925">
      <w:pPr>
        <w:rPr>
          <w:sz w:val="22"/>
        </w:rPr>
      </w:pPr>
    </w:p>
    <w:p w:rsidR="00C02925" w:rsidRDefault="00C02925">
      <w:pPr>
        <w:rPr>
          <w:sz w:val="22"/>
        </w:rPr>
      </w:pPr>
      <w:r>
        <w:rPr>
          <w:sz w:val="22"/>
        </w:rPr>
        <w:t>(b)  Section (a) shall not apply to:</w:t>
      </w:r>
    </w:p>
    <w:p w:rsidR="00C02925" w:rsidRDefault="00C02925">
      <w:pPr>
        <w:rPr>
          <w:sz w:val="22"/>
        </w:rPr>
      </w:pPr>
    </w:p>
    <w:p w:rsidR="00C02925" w:rsidRDefault="00C02925">
      <w:pPr>
        <w:ind w:left="720"/>
        <w:rPr>
          <w:sz w:val="22"/>
        </w:rPr>
      </w:pPr>
      <w:r>
        <w:rPr>
          <w:sz w:val="22"/>
        </w:rPr>
        <w:t>(1)  Any government officer, agent, or employee, member of the armed forces of the United States, or peace officer, to the extent that such person is otherwise authorized to acquire or possess an assault weapon and/or large capacity magazine, and does so while acting within the scope of his or her duties; or</w:t>
      </w:r>
    </w:p>
    <w:p w:rsidR="00C02925" w:rsidRDefault="00C02925">
      <w:pPr>
        <w:ind w:left="720"/>
        <w:rPr>
          <w:sz w:val="22"/>
        </w:rPr>
      </w:pPr>
    </w:p>
    <w:p w:rsidR="0081252F" w:rsidRPr="00260031" w:rsidRDefault="0081252F" w:rsidP="0081252F">
      <w:pPr>
        <w:numPr>
          <w:ilvl w:val="0"/>
          <w:numId w:val="1"/>
        </w:numPr>
        <w:rPr>
          <w:sz w:val="22"/>
        </w:rPr>
      </w:pPr>
      <w:r w:rsidRPr="00260031">
        <w:rPr>
          <w:sz w:val="22"/>
        </w:rPr>
        <w:t xml:space="preserve">The manufacture </w:t>
      </w:r>
      <w:r w:rsidR="00C02925" w:rsidRPr="00260031">
        <w:rPr>
          <w:sz w:val="22"/>
        </w:rPr>
        <w:t>of an assault weapon or large capacity ammunition feeding device by a firearms manufacturer</w:t>
      </w:r>
      <w:r w:rsidR="000D091B" w:rsidRPr="00260031">
        <w:rPr>
          <w:sz w:val="22"/>
        </w:rPr>
        <w:t xml:space="preserve"> for the purpose of </w:t>
      </w:r>
      <w:r w:rsidRPr="00260031">
        <w:rPr>
          <w:sz w:val="22"/>
        </w:rPr>
        <w:t xml:space="preserve">sale to any branch of the armed forces of the United </w:t>
      </w:r>
      <w:r w:rsidRPr="00260031">
        <w:rPr>
          <w:sz w:val="22"/>
        </w:rPr>
        <w:lastRenderedPageBreak/>
        <w:t xml:space="preserve">States, or to a law enforcement agency in this </w:t>
      </w:r>
      <w:r w:rsidRPr="00260031">
        <w:rPr>
          <w:sz w:val="22"/>
          <w:u w:val="single"/>
        </w:rPr>
        <w:t>State/County/City</w:t>
      </w:r>
      <w:r w:rsidRPr="00260031">
        <w:rPr>
          <w:sz w:val="22"/>
        </w:rPr>
        <w:t xml:space="preserve"> for use by that agency or its employees</w:t>
      </w:r>
      <w:r w:rsidR="008B14E8" w:rsidRPr="00260031">
        <w:rPr>
          <w:sz w:val="22"/>
        </w:rPr>
        <w:t>, provided the manufacturer is properly licensed under federal, state and local laws</w:t>
      </w:r>
      <w:r w:rsidRPr="00260031">
        <w:rPr>
          <w:sz w:val="22"/>
        </w:rPr>
        <w:t>.</w:t>
      </w:r>
    </w:p>
    <w:p w:rsidR="008B14E8" w:rsidRPr="00260031" w:rsidRDefault="008B14E8" w:rsidP="008B14E8">
      <w:pPr>
        <w:ind w:left="720"/>
        <w:rPr>
          <w:sz w:val="22"/>
        </w:rPr>
      </w:pPr>
    </w:p>
    <w:p w:rsidR="00C02925" w:rsidRPr="00260031" w:rsidRDefault="002D0176" w:rsidP="0081252F">
      <w:pPr>
        <w:ind w:left="720"/>
        <w:rPr>
          <w:sz w:val="22"/>
        </w:rPr>
      </w:pPr>
      <w:r w:rsidRPr="00260031">
        <w:rPr>
          <w:sz w:val="22"/>
        </w:rPr>
        <w:t xml:space="preserve">(3) </w:t>
      </w:r>
      <w:r w:rsidR="000D091B" w:rsidRPr="00260031">
        <w:rPr>
          <w:sz w:val="22"/>
        </w:rPr>
        <w:t xml:space="preserve">The sale or transfer of an assault weapon or large capacity ammunition feeding device by a </w:t>
      </w:r>
      <w:r w:rsidR="00C02925" w:rsidRPr="00260031">
        <w:rPr>
          <w:sz w:val="22"/>
        </w:rPr>
        <w:t xml:space="preserve">dealer that is properly licensed under federal, state and local laws to any branch of the armed forces of the United States, or to a law enforcement agency in this </w:t>
      </w:r>
      <w:r w:rsidR="00C02925" w:rsidRPr="00260031">
        <w:rPr>
          <w:sz w:val="22"/>
          <w:u w:val="single"/>
        </w:rPr>
        <w:t>State/County/City</w:t>
      </w:r>
      <w:r w:rsidR="00C02925" w:rsidRPr="00260031">
        <w:rPr>
          <w:sz w:val="22"/>
        </w:rPr>
        <w:t xml:space="preserve"> for use by that agency or its employees for law enforcement purposes.</w:t>
      </w:r>
    </w:p>
    <w:p w:rsidR="000D091B" w:rsidRDefault="000D091B">
      <w:pPr>
        <w:ind w:left="720"/>
        <w:rPr>
          <w:sz w:val="22"/>
        </w:rPr>
      </w:pPr>
    </w:p>
    <w:p w:rsidR="00C02925" w:rsidRDefault="00C02925" w:rsidP="00F53435">
      <w:pPr>
        <w:ind w:left="720"/>
        <w:rPr>
          <w:sz w:val="22"/>
        </w:rPr>
      </w:pPr>
    </w:p>
    <w:p w:rsidR="00C02925" w:rsidRDefault="00C02925">
      <w:pPr>
        <w:rPr>
          <w:sz w:val="22"/>
        </w:rPr>
      </w:pPr>
      <w:r>
        <w:rPr>
          <w:b/>
          <w:sz w:val="22"/>
        </w:rPr>
        <w:t>[Option 1 – Banning assault weapons already in circulation: Section (3)(c)]</w:t>
      </w:r>
      <w:r>
        <w:rPr>
          <w:sz w:val="22"/>
        </w:rPr>
        <w:t xml:space="preserve">  </w:t>
      </w:r>
    </w:p>
    <w:p w:rsidR="00C02925" w:rsidRDefault="00C02925">
      <w:pPr>
        <w:rPr>
          <w:sz w:val="22"/>
        </w:rPr>
      </w:pPr>
    </w:p>
    <w:p w:rsidR="00C02925" w:rsidRDefault="00C02925">
      <w:pPr>
        <w:rPr>
          <w:sz w:val="22"/>
        </w:rPr>
      </w:pPr>
      <w:r>
        <w:rPr>
          <w:sz w:val="22"/>
        </w:rPr>
        <w:t>(c)  Any person who, prior to the effective date of this law, was legally in possession of an assault weapon or large capacity magazine shall have 90 days from such effective date to do any of the following without being subject to prosecution:</w:t>
      </w:r>
    </w:p>
    <w:p w:rsidR="00C02925" w:rsidRDefault="00C02925">
      <w:pPr>
        <w:ind w:firstLine="720"/>
        <w:rPr>
          <w:sz w:val="22"/>
        </w:rPr>
      </w:pPr>
    </w:p>
    <w:p w:rsidR="00C02925" w:rsidRDefault="00C02925">
      <w:pPr>
        <w:ind w:left="720"/>
        <w:rPr>
          <w:sz w:val="22"/>
        </w:rPr>
      </w:pPr>
      <w:r>
        <w:rPr>
          <w:sz w:val="22"/>
        </w:rPr>
        <w:t xml:space="preserve">(1)  Remove the assault weapon or large capacity magazine from the </w:t>
      </w:r>
      <w:smartTag w:uri="urn:schemas-microsoft-com:office:smarttags" w:element="place">
        <w:smartTag w:uri="urn:schemas-microsoft-com:office:smarttags" w:element="PlaceType">
          <w:r>
            <w:rPr>
              <w:color w:val="000000"/>
              <w:sz w:val="22"/>
              <w:u w:val="single"/>
            </w:rPr>
            <w:t>State</w:t>
          </w:r>
        </w:smartTag>
        <w:smartTag w:uri="urn:schemas-microsoft-com:office:smarttags" w:element="PlaceName">
          <w:r>
            <w:rPr>
              <w:color w:val="000000"/>
              <w:sz w:val="22"/>
              <w:u w:val="single"/>
            </w:rPr>
            <w:t>/County/</w:t>
          </w:r>
        </w:smartTag>
        <w:smartTag w:uri="urn:schemas-microsoft-com:office:smarttags" w:element="PlaceType">
          <w:r>
            <w:rPr>
              <w:color w:val="000000"/>
              <w:sz w:val="22"/>
              <w:u w:val="single"/>
            </w:rPr>
            <w:t>City</w:t>
          </w:r>
        </w:smartTag>
      </w:smartTag>
      <w:r>
        <w:rPr>
          <w:sz w:val="22"/>
        </w:rPr>
        <w:t>;</w:t>
      </w:r>
    </w:p>
    <w:p w:rsidR="00C02925" w:rsidRDefault="00C02925">
      <w:pPr>
        <w:ind w:left="720"/>
        <w:rPr>
          <w:sz w:val="22"/>
        </w:rPr>
      </w:pPr>
    </w:p>
    <w:p w:rsidR="00C02925" w:rsidRDefault="00C02925">
      <w:pPr>
        <w:ind w:left="720"/>
        <w:rPr>
          <w:sz w:val="22"/>
        </w:rPr>
      </w:pPr>
      <w:r>
        <w:rPr>
          <w:sz w:val="22"/>
        </w:rPr>
        <w:t>(2)  Render the assault weapon permanently inoperable; or</w:t>
      </w:r>
    </w:p>
    <w:p w:rsidR="00C02925" w:rsidRDefault="00C02925">
      <w:pPr>
        <w:ind w:left="720"/>
        <w:rPr>
          <w:sz w:val="22"/>
        </w:rPr>
      </w:pPr>
    </w:p>
    <w:p w:rsidR="00C02925" w:rsidRDefault="00C02925">
      <w:pPr>
        <w:ind w:left="720"/>
        <w:rPr>
          <w:sz w:val="22"/>
        </w:rPr>
      </w:pPr>
      <w:r>
        <w:rPr>
          <w:sz w:val="22"/>
        </w:rPr>
        <w:t>(3)  Surrender the assault weapon or large capacity magazine to the appropriate law enforcement agency for destruction [subject to specific agency regulations].</w:t>
      </w:r>
    </w:p>
    <w:p w:rsidR="00C02925" w:rsidRDefault="00C02925">
      <w:pPr>
        <w:rPr>
          <w:sz w:val="22"/>
        </w:rPr>
      </w:pPr>
    </w:p>
    <w:p w:rsidR="00C02925" w:rsidRDefault="00C02925">
      <w:pPr>
        <w:rPr>
          <w:b/>
          <w:sz w:val="22"/>
        </w:rPr>
      </w:pPr>
      <w:r>
        <w:rPr>
          <w:b/>
          <w:sz w:val="22"/>
        </w:rPr>
        <w:t xml:space="preserve">[Option 2 – Registration of assault weapons already in circulation: Section (3)(c) through (g)]  </w:t>
      </w:r>
    </w:p>
    <w:p w:rsidR="00C02925" w:rsidRDefault="00C02925">
      <w:pPr>
        <w:rPr>
          <w:b/>
          <w:sz w:val="22"/>
        </w:rPr>
      </w:pPr>
    </w:p>
    <w:p w:rsidR="00C02925" w:rsidRDefault="00C02925">
      <w:pPr>
        <w:rPr>
          <w:sz w:val="22"/>
        </w:rPr>
      </w:pPr>
      <w:r>
        <w:rPr>
          <w:sz w:val="22"/>
        </w:rPr>
        <w:t>(c)  Any person who, prior to the effective date of this law, was legally in possession of an assault weapon or large capacity magazine shall have 90 days from such effective date to do any of the following without being subject to prosecution:</w:t>
      </w:r>
    </w:p>
    <w:p w:rsidR="00C02925" w:rsidRDefault="00C02925">
      <w:pPr>
        <w:ind w:firstLine="720"/>
        <w:rPr>
          <w:sz w:val="22"/>
        </w:rPr>
      </w:pPr>
    </w:p>
    <w:p w:rsidR="00C02925" w:rsidRDefault="00C02925">
      <w:pPr>
        <w:ind w:left="720"/>
        <w:rPr>
          <w:sz w:val="22"/>
        </w:rPr>
      </w:pPr>
      <w:r>
        <w:rPr>
          <w:sz w:val="22"/>
        </w:rPr>
        <w:t xml:space="preserve">(1)  Remove the assault weapon or large capacity magazine from the </w:t>
      </w:r>
      <w:smartTag w:uri="urn:schemas-microsoft-com:office:smarttags" w:element="place">
        <w:smartTag w:uri="urn:schemas-microsoft-com:office:smarttags" w:element="PlaceType">
          <w:r>
            <w:rPr>
              <w:sz w:val="22"/>
              <w:u w:val="single"/>
            </w:rPr>
            <w:t>State</w:t>
          </w:r>
        </w:smartTag>
        <w:smartTag w:uri="urn:schemas-microsoft-com:office:smarttags" w:element="PlaceName">
          <w:r>
            <w:rPr>
              <w:sz w:val="22"/>
              <w:u w:val="single"/>
            </w:rPr>
            <w:t>/County/</w:t>
          </w:r>
        </w:smartTag>
        <w:smartTag w:uri="urn:schemas-microsoft-com:office:smarttags" w:element="PlaceType">
          <w:r>
            <w:rPr>
              <w:sz w:val="22"/>
              <w:u w:val="single"/>
            </w:rPr>
            <w:t>City</w:t>
          </w:r>
        </w:smartTag>
      </w:smartTag>
      <w:r>
        <w:rPr>
          <w:sz w:val="22"/>
        </w:rPr>
        <w:t>;</w:t>
      </w:r>
    </w:p>
    <w:p w:rsidR="00C02925" w:rsidRDefault="00C02925">
      <w:pPr>
        <w:ind w:left="720"/>
        <w:rPr>
          <w:sz w:val="22"/>
        </w:rPr>
      </w:pPr>
    </w:p>
    <w:p w:rsidR="00C02925" w:rsidRDefault="00C02925">
      <w:pPr>
        <w:ind w:left="720"/>
        <w:rPr>
          <w:sz w:val="22"/>
        </w:rPr>
      </w:pPr>
      <w:r>
        <w:rPr>
          <w:sz w:val="22"/>
        </w:rPr>
        <w:t>(2)  Render the assault weapon permanently inoperable;</w:t>
      </w:r>
    </w:p>
    <w:p w:rsidR="00C02925" w:rsidRDefault="00C02925">
      <w:pPr>
        <w:ind w:left="720"/>
        <w:rPr>
          <w:sz w:val="22"/>
        </w:rPr>
      </w:pPr>
    </w:p>
    <w:p w:rsidR="00C02925" w:rsidRDefault="00C02925">
      <w:pPr>
        <w:ind w:left="720"/>
        <w:rPr>
          <w:sz w:val="22"/>
        </w:rPr>
      </w:pPr>
      <w:r>
        <w:rPr>
          <w:sz w:val="22"/>
        </w:rPr>
        <w:t>(3)  Surrender the assault weapon or large capacity magazine to the appropriate law enforcement agency for destruction [subject to specific agency regulations]; or</w:t>
      </w:r>
    </w:p>
    <w:p w:rsidR="00C02925" w:rsidRDefault="00C02925">
      <w:pPr>
        <w:ind w:left="720"/>
        <w:rPr>
          <w:sz w:val="22"/>
        </w:rPr>
      </w:pPr>
    </w:p>
    <w:p w:rsidR="00C02925" w:rsidRDefault="00C02925">
      <w:pPr>
        <w:ind w:left="720"/>
        <w:rPr>
          <w:sz w:val="22"/>
        </w:rPr>
      </w:pPr>
      <w:r>
        <w:rPr>
          <w:sz w:val="22"/>
        </w:rPr>
        <w:t>(4)  If eligible, register the assault weapon as provided in subsection (d).</w:t>
      </w:r>
    </w:p>
    <w:p w:rsidR="00C02925" w:rsidRDefault="00C02925">
      <w:pPr>
        <w:rPr>
          <w:sz w:val="22"/>
        </w:rPr>
      </w:pPr>
    </w:p>
    <w:p w:rsidR="00C02925" w:rsidRDefault="00C02925">
      <w:pPr>
        <w:rPr>
          <w:sz w:val="22"/>
        </w:rPr>
      </w:pPr>
      <w:r>
        <w:rPr>
          <w:sz w:val="22"/>
        </w:rPr>
        <w:t>(d)  Any person seeking to register an assault weapon that he or she legally possessed prior to the effective date of this law must comply with the following requirements:</w:t>
      </w:r>
    </w:p>
    <w:p w:rsidR="00C02925" w:rsidRDefault="00C02925">
      <w:pPr>
        <w:rPr>
          <w:color w:val="000000"/>
          <w:sz w:val="22"/>
        </w:rPr>
      </w:pPr>
    </w:p>
    <w:p w:rsidR="00C02925" w:rsidRDefault="00C02925">
      <w:pPr>
        <w:ind w:left="720"/>
        <w:rPr>
          <w:color w:val="000000"/>
          <w:sz w:val="22"/>
        </w:rPr>
      </w:pPr>
      <w:r>
        <w:rPr>
          <w:color w:val="000000"/>
          <w:sz w:val="22"/>
        </w:rPr>
        <w:t xml:space="preserve">(1)  Submit to a background check conducted by the appropriate law enforcement agency to confirm that he or she is not a prohibited purchaser under </w:t>
      </w:r>
      <w:r>
        <w:rPr>
          <w:sz w:val="22"/>
        </w:rPr>
        <w:t xml:space="preserve">18 U.S.C. § 922 </w:t>
      </w:r>
      <w:r>
        <w:rPr>
          <w:color w:val="000000"/>
          <w:sz w:val="22"/>
        </w:rPr>
        <w:t>[add the appropriate state and local citations];</w:t>
      </w:r>
    </w:p>
    <w:p w:rsidR="00C02925" w:rsidRDefault="00C02925">
      <w:pPr>
        <w:ind w:left="720"/>
        <w:rPr>
          <w:color w:val="000000"/>
          <w:sz w:val="22"/>
        </w:rPr>
      </w:pPr>
    </w:p>
    <w:p w:rsidR="00C02925" w:rsidRDefault="00C02925">
      <w:pPr>
        <w:ind w:left="720"/>
        <w:rPr>
          <w:color w:val="000000"/>
          <w:sz w:val="22"/>
        </w:rPr>
      </w:pPr>
      <w:r>
        <w:rPr>
          <w:color w:val="000000"/>
          <w:sz w:val="22"/>
        </w:rPr>
        <w:t>(2)  Unless the person is currently prohibited by law from possessing a firearm, immediately register the assault weapon with the appropriate law enforcement agency;</w:t>
      </w:r>
    </w:p>
    <w:p w:rsidR="00C02925" w:rsidRDefault="00C02925">
      <w:pPr>
        <w:ind w:left="720"/>
        <w:rPr>
          <w:color w:val="000000"/>
          <w:sz w:val="22"/>
        </w:rPr>
      </w:pPr>
    </w:p>
    <w:p w:rsidR="00C02925" w:rsidRDefault="00C02925">
      <w:pPr>
        <w:ind w:left="720"/>
        <w:rPr>
          <w:color w:val="000000"/>
          <w:sz w:val="22"/>
        </w:rPr>
      </w:pPr>
      <w:r>
        <w:rPr>
          <w:color w:val="000000"/>
          <w:sz w:val="22"/>
        </w:rPr>
        <w:t>(3)  Safely and securely store the assault weapon pursuant to the regulations adopted by the appropriate law enforcement agency.  Law enforcement is authorized to inspect the storage of assault weapons to ensure compliance with this subsection;</w:t>
      </w:r>
    </w:p>
    <w:p w:rsidR="00C02925" w:rsidRDefault="00C02925">
      <w:pPr>
        <w:ind w:left="720"/>
        <w:rPr>
          <w:color w:val="000000"/>
          <w:sz w:val="22"/>
        </w:rPr>
      </w:pPr>
    </w:p>
    <w:p w:rsidR="00C02925" w:rsidRDefault="00C02925">
      <w:pPr>
        <w:ind w:left="720"/>
        <w:rPr>
          <w:color w:val="000000"/>
          <w:sz w:val="22"/>
        </w:rPr>
      </w:pPr>
      <w:r>
        <w:rPr>
          <w:color w:val="000000"/>
          <w:sz w:val="22"/>
        </w:rPr>
        <w:lastRenderedPageBreak/>
        <w:t>(4)  Annually renew the registration, subject to the completion of a new background check.</w:t>
      </w:r>
    </w:p>
    <w:p w:rsidR="00C02925" w:rsidRDefault="00C02925">
      <w:pPr>
        <w:ind w:left="720"/>
        <w:rPr>
          <w:color w:val="000000"/>
          <w:sz w:val="22"/>
        </w:rPr>
      </w:pPr>
    </w:p>
    <w:p w:rsidR="00C02925" w:rsidRDefault="00C02925">
      <w:pPr>
        <w:ind w:left="720"/>
        <w:rPr>
          <w:color w:val="000000"/>
          <w:sz w:val="22"/>
        </w:rPr>
      </w:pPr>
      <w:r>
        <w:rPr>
          <w:color w:val="000000"/>
          <w:sz w:val="22"/>
        </w:rPr>
        <w:t>(5)  Possess the assault weapon only on property owned or immediately controlled by the person, or while on the premises of a licensed gunsmith for the purpose of lawful repair, or while engaged in the legal use of the assault weapon at a duly licensed firing range, or while t</w:t>
      </w:r>
      <w:r w:rsidR="00030EFD">
        <w:rPr>
          <w:color w:val="000000"/>
          <w:sz w:val="22"/>
        </w:rPr>
        <w:t>ransporting the weapon incompliance with 18 U.S.C. § 926a.</w:t>
      </w:r>
    </w:p>
    <w:p w:rsidR="00C02925" w:rsidRDefault="00C02925">
      <w:pPr>
        <w:rPr>
          <w:color w:val="000000"/>
          <w:sz w:val="22"/>
        </w:rPr>
      </w:pPr>
    </w:p>
    <w:p w:rsidR="00C02925" w:rsidRDefault="00C02925">
      <w:pPr>
        <w:ind w:left="720"/>
        <w:rPr>
          <w:color w:val="000000"/>
          <w:sz w:val="22"/>
        </w:rPr>
      </w:pPr>
      <w:r>
        <w:rPr>
          <w:color w:val="000000"/>
          <w:sz w:val="22"/>
        </w:rPr>
        <w:t>(6)  Report the loss or theft of a registered assault weapon to the appropriate law enforcement agency within 48 hours of the time the discovery was made or should have been made.</w:t>
      </w:r>
    </w:p>
    <w:p w:rsidR="00C02925" w:rsidRDefault="00C02925">
      <w:pPr>
        <w:rPr>
          <w:sz w:val="22"/>
        </w:rPr>
      </w:pPr>
    </w:p>
    <w:p w:rsidR="00C02925" w:rsidRDefault="00C02925">
      <w:pPr>
        <w:ind w:right="720"/>
        <w:rPr>
          <w:color w:val="000000"/>
          <w:sz w:val="22"/>
        </w:rPr>
      </w:pPr>
      <w:bookmarkStart w:id="2" w:name="FolioHit2"/>
      <w:r>
        <w:rPr>
          <w:sz w:val="22"/>
        </w:rPr>
        <w:t xml:space="preserve">(e)  If a registered assault weapon is used in the commission of a crime, the registered owner shall be civilly liable for any damages resulting from that crime.  The liability imposed by this subsection shall not apply if the assault weapon was stolen and the registered owner reported the theft of the firearm to law enforcement within 48 hours </w:t>
      </w:r>
      <w:r>
        <w:rPr>
          <w:color w:val="000000"/>
          <w:sz w:val="22"/>
        </w:rPr>
        <w:t>of the time the discovery was made or should have been made.</w:t>
      </w:r>
      <w:bookmarkEnd w:id="2"/>
    </w:p>
    <w:p w:rsidR="00C02925" w:rsidRDefault="00C02925">
      <w:pPr>
        <w:rPr>
          <w:sz w:val="22"/>
        </w:rPr>
      </w:pPr>
    </w:p>
    <w:p w:rsidR="00702C98" w:rsidRDefault="00C02925">
      <w:pPr>
        <w:rPr>
          <w:sz w:val="22"/>
        </w:rPr>
      </w:pPr>
      <w:r>
        <w:rPr>
          <w:sz w:val="22"/>
        </w:rPr>
        <w:t xml:space="preserve">(f)  Registered assault weapons may not be purchased, sold or transferred, except for transfer to a licensed gunsmith for the purpose of lawful repair, or transfer to the appropriate law enforcement agency for the purpose of surrendering the assault weapon for destruction.  </w:t>
      </w:r>
    </w:p>
    <w:p w:rsidR="00702C98" w:rsidRDefault="00702C98">
      <w:pPr>
        <w:rPr>
          <w:sz w:val="22"/>
        </w:rPr>
      </w:pPr>
    </w:p>
    <w:p w:rsidR="00C02925" w:rsidRPr="001255B5" w:rsidRDefault="00702C98">
      <w:pPr>
        <w:rPr>
          <w:sz w:val="22"/>
        </w:rPr>
      </w:pPr>
      <w:r w:rsidRPr="001255B5">
        <w:rPr>
          <w:sz w:val="22"/>
        </w:rPr>
        <w:t xml:space="preserve">(g) </w:t>
      </w:r>
      <w:r w:rsidR="00C02925" w:rsidRPr="001255B5">
        <w:rPr>
          <w:sz w:val="22"/>
        </w:rPr>
        <w:t>Persons acquiring an assault weapon by inheritance, bequest, or succession shall, within 90 days of acquiring title, do one of the following:</w:t>
      </w:r>
    </w:p>
    <w:p w:rsidR="00C02925" w:rsidRPr="001255B5" w:rsidRDefault="00C02925">
      <w:pPr>
        <w:rPr>
          <w:sz w:val="22"/>
        </w:rPr>
      </w:pPr>
    </w:p>
    <w:p w:rsidR="00C02925" w:rsidRPr="001255B5" w:rsidRDefault="00C02925">
      <w:pPr>
        <w:ind w:left="720"/>
        <w:rPr>
          <w:sz w:val="22"/>
        </w:rPr>
      </w:pPr>
      <w:r w:rsidRPr="001255B5">
        <w:rPr>
          <w:sz w:val="22"/>
        </w:rPr>
        <w:t>(1)  Modify the assault weapon to render it permanently inoperable; or</w:t>
      </w:r>
    </w:p>
    <w:p w:rsidR="00C02925" w:rsidRPr="001255B5" w:rsidRDefault="00C02925">
      <w:pPr>
        <w:ind w:left="720"/>
        <w:rPr>
          <w:sz w:val="22"/>
        </w:rPr>
      </w:pPr>
    </w:p>
    <w:p w:rsidR="00C02925" w:rsidRPr="001255B5" w:rsidRDefault="00C02925">
      <w:pPr>
        <w:ind w:left="720"/>
        <w:rPr>
          <w:sz w:val="22"/>
        </w:rPr>
      </w:pPr>
      <w:r w:rsidRPr="001255B5">
        <w:rPr>
          <w:sz w:val="22"/>
        </w:rPr>
        <w:t xml:space="preserve">(2)  Surrender the assault weapon to the appropriate law enforcement agency for destruction [subject to </w:t>
      </w:r>
      <w:r w:rsidR="005A546C">
        <w:rPr>
          <w:sz w:val="22"/>
        </w:rPr>
        <w:t>specific agency regulations];</w:t>
      </w:r>
    </w:p>
    <w:p w:rsidR="00702C98" w:rsidRPr="001255B5" w:rsidRDefault="00702C98">
      <w:pPr>
        <w:ind w:left="720"/>
        <w:rPr>
          <w:sz w:val="22"/>
        </w:rPr>
      </w:pPr>
    </w:p>
    <w:p w:rsidR="00702C98" w:rsidRDefault="00702C98">
      <w:pPr>
        <w:ind w:left="720"/>
        <w:rPr>
          <w:sz w:val="22"/>
        </w:rPr>
      </w:pPr>
      <w:r w:rsidRPr="001255B5">
        <w:rPr>
          <w:sz w:val="22"/>
        </w:rPr>
        <w:t xml:space="preserve">(3) </w:t>
      </w:r>
      <w:r w:rsidR="005A546C">
        <w:rPr>
          <w:sz w:val="22"/>
        </w:rPr>
        <w:t>Transferred to a firearms dealer who is properly licensed under federal, state and local laws.</w:t>
      </w:r>
    </w:p>
    <w:p w:rsidR="001255B5" w:rsidRDefault="001255B5" w:rsidP="001255B5">
      <w:pPr>
        <w:rPr>
          <w:sz w:val="22"/>
        </w:rPr>
      </w:pPr>
    </w:p>
    <w:p w:rsidR="001255B5" w:rsidRDefault="001255B5" w:rsidP="001255B5">
      <w:pPr>
        <w:rPr>
          <w:sz w:val="22"/>
        </w:rPr>
      </w:pPr>
      <w:r w:rsidRPr="00260031">
        <w:rPr>
          <w:sz w:val="22"/>
        </w:rPr>
        <w:t>(h) The registered owner of an assault weapon may not purchase additional assault weapons.</w:t>
      </w:r>
    </w:p>
    <w:p w:rsidR="00C02925" w:rsidRDefault="00C02925">
      <w:pPr>
        <w:rPr>
          <w:color w:val="000000"/>
          <w:sz w:val="22"/>
        </w:rPr>
      </w:pPr>
    </w:p>
    <w:p w:rsidR="00C02925" w:rsidRDefault="001255B5">
      <w:pPr>
        <w:rPr>
          <w:color w:val="000000"/>
          <w:sz w:val="22"/>
        </w:rPr>
      </w:pPr>
      <w:r>
        <w:rPr>
          <w:color w:val="000000"/>
          <w:sz w:val="22"/>
        </w:rPr>
        <w:t>(i</w:t>
      </w:r>
      <w:r w:rsidR="00C02925">
        <w:rPr>
          <w:color w:val="000000"/>
          <w:sz w:val="22"/>
        </w:rPr>
        <w:t xml:space="preserve">)  Law enforcement may charge a fee for each registration and registration renewal pursuant to </w:t>
      </w:r>
    </w:p>
    <w:p w:rsidR="00C02925" w:rsidRDefault="00C02925">
      <w:pPr>
        <w:rPr>
          <w:color w:val="000000"/>
          <w:sz w:val="22"/>
        </w:rPr>
      </w:pPr>
      <w:r>
        <w:rPr>
          <w:color w:val="000000"/>
          <w:sz w:val="22"/>
        </w:rPr>
        <w:t>Section (c).</w:t>
      </w:r>
    </w:p>
    <w:p w:rsidR="00C02925" w:rsidRDefault="00C02925">
      <w:pPr>
        <w:rPr>
          <w:color w:val="000000"/>
          <w:sz w:val="22"/>
        </w:rPr>
      </w:pPr>
    </w:p>
    <w:p w:rsidR="00C02925" w:rsidRDefault="00C02925">
      <w:pPr>
        <w:rPr>
          <w:b/>
          <w:color w:val="000000"/>
          <w:sz w:val="22"/>
        </w:rPr>
      </w:pPr>
      <w:r>
        <w:rPr>
          <w:b/>
          <w:color w:val="000000"/>
          <w:sz w:val="22"/>
        </w:rPr>
        <w:t>4.</w:t>
      </w:r>
      <w:r>
        <w:rPr>
          <w:b/>
          <w:color w:val="000000"/>
          <w:sz w:val="22"/>
        </w:rPr>
        <w:tab/>
        <w:t>Penalties</w:t>
      </w:r>
    </w:p>
    <w:p w:rsidR="00C02925" w:rsidRDefault="00C02925">
      <w:pPr>
        <w:rPr>
          <w:color w:val="000000"/>
          <w:sz w:val="22"/>
        </w:rPr>
      </w:pPr>
    </w:p>
    <w:p w:rsidR="00C02925" w:rsidRDefault="00C02925">
      <w:pPr>
        <w:rPr>
          <w:color w:val="000000"/>
          <w:sz w:val="22"/>
        </w:rPr>
      </w:pPr>
      <w:r>
        <w:rPr>
          <w:color w:val="000000"/>
          <w:sz w:val="22"/>
        </w:rPr>
        <w:t>[Penalties vary significantly based on the standards of each state and local government.  States almost always make assault weapon violations a felony.  Maximum penalties range from three to 15 years in prison (but may be lower for first-time offenders), and a fine of several thousand dollars is sometimes an additional penalty, depending on the circumstances.  Local penalties are usually limited to one year in jail and/or a $1,000 fine, although these penalties may be lower in some cases/jurisdictions.  In almost all cases, the weapons are subject to seizure and destruction.]</w:t>
      </w:r>
    </w:p>
    <w:p w:rsidR="00C02925" w:rsidRDefault="00C02925">
      <w:pPr>
        <w:rPr>
          <w:b/>
          <w:color w:val="000000"/>
          <w:sz w:val="22"/>
        </w:rPr>
      </w:pPr>
    </w:p>
    <w:p w:rsidR="00C02925" w:rsidRDefault="00C02925">
      <w:pPr>
        <w:rPr>
          <w:b/>
          <w:color w:val="000000"/>
          <w:sz w:val="22"/>
        </w:rPr>
      </w:pPr>
      <w:r>
        <w:rPr>
          <w:b/>
          <w:color w:val="000000"/>
          <w:sz w:val="22"/>
        </w:rPr>
        <w:t>5.</w:t>
      </w:r>
      <w:r>
        <w:rPr>
          <w:b/>
          <w:color w:val="000000"/>
          <w:sz w:val="22"/>
        </w:rPr>
        <w:tab/>
        <w:t>Severability</w:t>
      </w:r>
    </w:p>
    <w:p w:rsidR="00C02925" w:rsidRDefault="00C02925">
      <w:pPr>
        <w:rPr>
          <w:b/>
          <w:color w:val="000000"/>
          <w:sz w:val="22"/>
        </w:rPr>
      </w:pPr>
    </w:p>
    <w:p w:rsidR="00C02925" w:rsidRPr="009974F4" w:rsidRDefault="00C02925" w:rsidP="009974F4">
      <w:pPr>
        <w:pStyle w:val="BodyText3"/>
        <w:spacing w:after="0"/>
        <w:jc w:val="both"/>
      </w:pPr>
      <w:r>
        <w:rPr>
          <w:sz w:val="22"/>
        </w:rPr>
        <w:t xml:space="preserve">If any provision or term of this Chapter is for any reason declared unconstitutional or invalid or ineffective by any court of competent jurisdiction, such decision shall not affect the validity or the effectiveness of the remaining portions of this Chapter or any part thereof.  The </w:t>
      </w:r>
      <w:r>
        <w:rPr>
          <w:sz w:val="22"/>
          <w:u w:val="single"/>
        </w:rPr>
        <w:t>State/County/City</w:t>
      </w:r>
      <w:r>
        <w:rPr>
          <w:sz w:val="22"/>
        </w:rPr>
        <w:t xml:space="preserve"> hereby declares that it would have adopted this Chapter notwithstanding the unconstitutionality, invalidity or ineffectiveness of any one or more of its articles, sections, subsections, sentences or clauses.</w:t>
      </w:r>
      <w:r w:rsidR="00162619" w:rsidRPr="00162619">
        <w:rPr>
          <w:noProof/>
        </w:rPr>
        <w:t xml:space="preserve"> </w:t>
      </w:r>
    </w:p>
    <w:sectPr w:rsidR="00C02925" w:rsidRPr="009974F4" w:rsidSect="00621DD6">
      <w:footerReference w:type="even" r:id="rId11"/>
      <w:footerReference w:type="default" r:id="rId12"/>
      <w:footerReference w:type="first" r:id="rId13"/>
      <w:type w:val="continuous"/>
      <w:pgSz w:w="12240" w:h="15840" w:code="1"/>
      <w:pgMar w:top="1440" w:right="1368" w:bottom="1440" w:left="136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1F8" w:rsidRDefault="006B31F8">
      <w:r>
        <w:separator/>
      </w:r>
    </w:p>
  </w:endnote>
  <w:endnote w:type="continuationSeparator" w:id="0">
    <w:p w:rsidR="006B31F8" w:rsidRDefault="006B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7D2" w:rsidRDefault="003667D2" w:rsidP="00143D88">
    <w:pPr>
      <w:pStyle w:val="Footer"/>
      <w:tabs>
        <w:tab w:val="clear" w:pos="8640"/>
        <w:tab w:val="right" w:pos="9450"/>
      </w:tabs>
    </w:pPr>
    <w:r>
      <w:rPr>
        <w:rStyle w:val="PageNumber"/>
        <w:sz w:val="16"/>
      </w:rPr>
      <w:fldChar w:fldCharType="begin"/>
    </w:r>
    <w:r>
      <w:rPr>
        <w:rStyle w:val="PageNumber"/>
        <w:sz w:val="16"/>
      </w:rPr>
      <w:instrText xml:space="preserve"> PAGE </w:instrText>
    </w:r>
    <w:r>
      <w:rPr>
        <w:rStyle w:val="PageNumber"/>
        <w:sz w:val="16"/>
      </w:rPr>
      <w:fldChar w:fldCharType="separate"/>
    </w:r>
    <w:r w:rsidR="00972A17">
      <w:rPr>
        <w:rStyle w:val="PageNumber"/>
        <w:noProof/>
        <w:sz w:val="16"/>
      </w:rPr>
      <w:t>6</w:t>
    </w:r>
    <w:r>
      <w:rPr>
        <w:rStyle w:val="PageNumber"/>
        <w:sz w:val="16"/>
      </w:rPr>
      <w:fldChar w:fldCharType="end"/>
    </w:r>
    <w:r>
      <w:rPr>
        <w:rFonts w:ascii="Arial" w:hAnsi="Arial"/>
        <w:i/>
        <w:sz w:val="16"/>
      </w:rPr>
      <w:tab/>
    </w:r>
    <w:r>
      <w:rPr>
        <w:rFonts w:ascii="Arial" w:hAnsi="Arial"/>
        <w:i/>
        <w:sz w:val="16"/>
      </w:rPr>
      <w:tab/>
      <w:t>Law Center to Prevent Gun Violence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7D2" w:rsidRPr="00143D88" w:rsidRDefault="003667D2" w:rsidP="00143D88">
    <w:pPr>
      <w:pStyle w:val="Footer"/>
      <w:tabs>
        <w:tab w:val="clear" w:pos="8640"/>
        <w:tab w:val="right" w:pos="9360"/>
      </w:tabs>
      <w:rPr>
        <w:sz w:val="16"/>
      </w:rPr>
    </w:pPr>
    <w:r>
      <w:rPr>
        <w:rFonts w:ascii="Arial" w:hAnsi="Arial"/>
        <w:i/>
        <w:sz w:val="16"/>
      </w:rPr>
      <w:t>Law Center to Prevent Gun Violence</w:t>
    </w:r>
    <w:r>
      <w:rPr>
        <w:rStyle w:val="PageNumber"/>
      </w:rPr>
      <w:t xml:space="preserve"> </w:t>
    </w:r>
    <w:r>
      <w:rPr>
        <w:rStyle w:val="PageNumber"/>
      </w:rPr>
      <w:tab/>
    </w:r>
    <w:r>
      <w:rPr>
        <w:rStyle w:val="PageNumber"/>
      </w:rPr>
      <w:tab/>
    </w:r>
    <w:r>
      <w:rPr>
        <w:rStyle w:val="PageNumber"/>
        <w:sz w:val="16"/>
      </w:rPr>
      <w:fldChar w:fldCharType="begin"/>
    </w:r>
    <w:r>
      <w:rPr>
        <w:rStyle w:val="PageNumber"/>
        <w:sz w:val="16"/>
      </w:rPr>
      <w:instrText xml:space="preserve"> PAGE </w:instrText>
    </w:r>
    <w:r>
      <w:rPr>
        <w:rStyle w:val="PageNumber"/>
        <w:sz w:val="16"/>
      </w:rPr>
      <w:fldChar w:fldCharType="separate"/>
    </w:r>
    <w:r w:rsidR="00972A17">
      <w:rPr>
        <w:rStyle w:val="PageNumber"/>
        <w:noProof/>
        <w:sz w:val="16"/>
      </w:rPr>
      <w:t>7</w:t>
    </w:r>
    <w:r>
      <w:rPr>
        <w:rStyle w:val="PageNumbe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7D2" w:rsidRDefault="003667D2">
    <w:pPr>
      <w:pStyle w:val="Footer"/>
      <w:tabs>
        <w:tab w:val="clear" w:pos="8640"/>
        <w:tab w:val="right" w:pos="9360"/>
      </w:tabs>
      <w:rPr>
        <w:sz w:val="16"/>
      </w:rPr>
    </w:pPr>
    <w:r>
      <w:rPr>
        <w:rFonts w:ascii="Arial" w:hAnsi="Arial"/>
        <w:i/>
        <w:sz w:val="16"/>
      </w:rPr>
      <w:t>Law Center to Prevent Gun Violence</w:t>
    </w:r>
    <w:r>
      <w:rPr>
        <w:rStyle w:val="PageNumber"/>
      </w:rPr>
      <w:t xml:space="preserve"> </w:t>
    </w:r>
    <w:r>
      <w:rPr>
        <w:rStyle w:val="PageNumber"/>
      </w:rPr>
      <w:tab/>
    </w:r>
    <w:r>
      <w:rPr>
        <w:rStyle w:val="PageNumber"/>
      </w:rPr>
      <w:tab/>
    </w:r>
    <w:r>
      <w:rPr>
        <w:rStyle w:val="PageNumber"/>
        <w:sz w:val="16"/>
      </w:rPr>
      <w:fldChar w:fldCharType="begin"/>
    </w:r>
    <w:r>
      <w:rPr>
        <w:rStyle w:val="PageNumber"/>
        <w:sz w:val="16"/>
      </w:rPr>
      <w:instrText xml:space="preserve"> PAGE </w:instrText>
    </w:r>
    <w:r>
      <w:rPr>
        <w:rStyle w:val="PageNumber"/>
        <w:sz w:val="16"/>
      </w:rPr>
      <w:fldChar w:fldCharType="separate"/>
    </w:r>
    <w:r w:rsidR="00972A17">
      <w:rPr>
        <w:rStyle w:val="PageNumber"/>
        <w:noProof/>
        <w:sz w:val="16"/>
      </w:rPr>
      <w:t>1</w:t>
    </w:r>
    <w:r>
      <w:rPr>
        <w:rStyle w:val="PageNumbe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1F8" w:rsidRDefault="006B31F8">
      <w:r>
        <w:separator/>
      </w:r>
    </w:p>
  </w:footnote>
  <w:footnote w:type="continuationSeparator" w:id="0">
    <w:p w:rsidR="006B31F8" w:rsidRDefault="006B31F8">
      <w:r>
        <w:continuationSeparator/>
      </w:r>
    </w:p>
  </w:footnote>
  <w:footnote w:id="1">
    <w:p w:rsidR="003667D2" w:rsidRDefault="003667D2" w:rsidP="00684845">
      <w:pPr>
        <w:pStyle w:val="FootnoteText"/>
      </w:pPr>
      <w:r>
        <w:rPr>
          <w:rStyle w:val="FootnoteReference"/>
        </w:rPr>
        <w:footnoteRef/>
      </w:r>
      <w:r>
        <w:t xml:space="preserve"> </w:t>
      </w:r>
      <w:r>
        <w:rPr>
          <w:color w:val="000000"/>
        </w:rPr>
        <w:t xml:space="preserve">U.S. Department of Justice, Bureau of Justice Statistics, </w:t>
      </w:r>
      <w:r>
        <w:rPr>
          <w:i/>
          <w:color w:val="000000"/>
        </w:rPr>
        <w:t>Guns Used in Crime</w:t>
      </w:r>
      <w:r>
        <w:rPr>
          <w:color w:val="000000"/>
        </w:rPr>
        <w:t>, 6, July 1995.</w:t>
      </w:r>
    </w:p>
  </w:footnote>
  <w:footnote w:id="2">
    <w:p w:rsidR="003667D2" w:rsidRDefault="003667D2">
      <w:pPr>
        <w:pStyle w:val="FootnoteText"/>
      </w:pPr>
      <w:r>
        <w:rPr>
          <w:rStyle w:val="FootnoteReference"/>
        </w:rPr>
        <w:footnoteRef/>
      </w:r>
      <w:r>
        <w:t xml:space="preserve"> Violence Policy Center, </w:t>
      </w:r>
      <w:r w:rsidRPr="00855A13">
        <w:rPr>
          <w:i/>
        </w:rPr>
        <w:t>Understanding the Smith &amp; Wesson M&amp;P15 Semiautomatic Assault Rifle Used in the Aurora, Colorado Mass Murder</w:t>
      </w:r>
      <w:r>
        <w:t xml:space="preserve">, July 2012, </w:t>
      </w:r>
      <w:r w:rsidRPr="00855A13">
        <w:rPr>
          <w:i/>
        </w:rPr>
        <w:t>available a</w:t>
      </w:r>
      <w:r>
        <w:rPr>
          <w:i/>
        </w:rPr>
        <w:t xml:space="preserve">t </w:t>
      </w:r>
      <w:r>
        <w:t xml:space="preserve"> </w:t>
      </w:r>
      <w:r w:rsidRPr="00855A13">
        <w:t>http://www.vpc.org/studies/M&amp;P15.pdf</w:t>
      </w:r>
      <w:r>
        <w:t>.</w:t>
      </w:r>
    </w:p>
  </w:footnote>
  <w:footnote w:id="3">
    <w:p w:rsidR="003667D2" w:rsidRDefault="003667D2">
      <w:pPr>
        <w:pStyle w:val="FootnoteText"/>
      </w:pPr>
      <w:r>
        <w:rPr>
          <w:rStyle w:val="FootnoteReference"/>
        </w:rPr>
        <w:footnoteRef/>
      </w:r>
      <w:r>
        <w:t xml:space="preserve"> </w:t>
      </w:r>
      <w:smartTag w:uri="urn:schemas-microsoft-com:office:smarttags" w:element="place">
        <w:smartTag w:uri="urn:schemas-microsoft-com:office:smarttags" w:element="PlaceName">
          <w:r>
            <w:t>Violence</w:t>
          </w:r>
        </w:smartTag>
        <w:r>
          <w:t xml:space="preserve"> </w:t>
        </w:r>
        <w:smartTag w:uri="urn:schemas-microsoft-com:office:smarttags" w:element="PlaceName">
          <w:r>
            <w:t>Policy</w:t>
          </w:r>
        </w:smartTag>
        <w:r>
          <w:t xml:space="preserve"> </w:t>
        </w:r>
        <w:smartTag w:uri="urn:schemas-microsoft-com:office:smarttags" w:element="PlaceType">
          <w:r>
            <w:t>Center</w:t>
          </w:r>
        </w:smartTag>
      </w:smartTag>
      <w:r>
        <w:t xml:space="preserve">, </w:t>
      </w:r>
      <w:r>
        <w:rPr>
          <w:i/>
        </w:rPr>
        <w:t>Officer Down—Assault Weapons and the War on Law Enforcement</w:t>
      </w:r>
      <w:r>
        <w:t>, May 2003.</w:t>
      </w:r>
    </w:p>
  </w:footnote>
  <w:footnote w:id="4">
    <w:p w:rsidR="003667D2" w:rsidRDefault="003667D2">
      <w:pPr>
        <w:pStyle w:val="FootnoteText"/>
      </w:pPr>
      <w:r>
        <w:rPr>
          <w:rStyle w:val="FootnoteReference"/>
        </w:rPr>
        <w:footnoteRef/>
      </w:r>
      <w:r>
        <w:t xml:space="preserve">  International Association of Chiefs of Police (IACP), </w:t>
      </w:r>
      <w:r>
        <w:rPr>
          <w:rStyle w:val="Emphasis"/>
        </w:rPr>
        <w:t>Taking a Stand: Reducing Gun Violence in Our Communities</w:t>
      </w:r>
      <w:r>
        <w:t xml:space="preserve"> 26-7 (Sept. 2007).</w:t>
      </w:r>
    </w:p>
  </w:footnote>
  <w:footnote w:id="5">
    <w:p w:rsidR="003667D2" w:rsidRDefault="003667D2">
      <w:pPr>
        <w:pStyle w:val="FootnoteText"/>
      </w:pPr>
      <w:r>
        <w:rPr>
          <w:rStyle w:val="FootnoteReference"/>
        </w:rPr>
        <w:footnoteRef/>
      </w:r>
      <w:r>
        <w:t xml:space="preserve"> </w:t>
      </w:r>
      <w:r>
        <w:rPr>
          <w:rStyle w:val="Emphasis"/>
        </w:rPr>
        <w:t>See, e.g.</w:t>
      </w:r>
      <w:r>
        <w:t xml:space="preserve">, Susan Candiotti, </w:t>
      </w:r>
      <w:r>
        <w:rPr>
          <w:rStyle w:val="Emphasis"/>
        </w:rPr>
        <w:t>Cops Find Themselves in Arms Race with Criminals</w:t>
      </w:r>
      <w:r>
        <w:t xml:space="preserve">, Cable News Network, Nov. 6, 2007, </w:t>
      </w:r>
      <w:r>
        <w:rPr>
          <w:rStyle w:val="Emphasis"/>
        </w:rPr>
        <w:t>available at</w:t>
      </w:r>
      <w:r>
        <w:t xml:space="preserve"> http://www.cnn.com/2007/US/11/05/cops.guns/index.html (last visited Aug. 21, 2012); Kevin Johnson,</w:t>
      </w:r>
      <w:r w:rsidRPr="005A4E41">
        <w:rPr>
          <w:rStyle w:val="Hyperlink"/>
        </w:rPr>
        <w:t xml:space="preserve"> </w:t>
      </w:r>
      <w:r>
        <w:rPr>
          <w:rStyle w:val="Emphasis"/>
        </w:rPr>
        <w:t>Police Needing Heavier Weapons</w:t>
      </w:r>
      <w:r>
        <w:t>, USA Today, Feb. 20, 2007, at 1A.</w:t>
      </w:r>
    </w:p>
  </w:footnote>
  <w:footnote w:id="6">
    <w:p w:rsidR="003667D2" w:rsidRDefault="003667D2">
      <w:pPr>
        <w:pStyle w:val="FootnoteText"/>
      </w:pPr>
      <w:r>
        <w:rPr>
          <w:rStyle w:val="FootnoteReference"/>
        </w:rPr>
        <w:footnoteRef/>
      </w:r>
      <w:r>
        <w:t xml:space="preserve"> </w:t>
      </w:r>
      <w:r w:rsidRPr="007F7902">
        <w:rPr>
          <w:i/>
        </w:rPr>
        <w:t>Taking a Stand</w:t>
      </w:r>
      <w:r>
        <w:t xml:space="preserve">, </w:t>
      </w:r>
      <w:r w:rsidRPr="007F7902">
        <w:rPr>
          <w:i/>
        </w:rPr>
        <w:t>supra</w:t>
      </w:r>
      <w:r>
        <w:t xml:space="preserve"> note </w:t>
      </w:r>
      <w:r>
        <w:fldChar w:fldCharType="begin"/>
      </w:r>
      <w:r>
        <w:instrText xml:space="preserve"> NOTEREF _Ref333482496 \h </w:instrText>
      </w:r>
      <w:r>
        <w:fldChar w:fldCharType="separate"/>
      </w:r>
      <w:r>
        <w:t>4</w:t>
      </w:r>
      <w:r>
        <w:fldChar w:fldCharType="end"/>
      </w:r>
      <w:r>
        <w:t>.</w:t>
      </w:r>
    </w:p>
  </w:footnote>
  <w:footnote w:id="7">
    <w:p w:rsidR="003667D2" w:rsidRDefault="003667D2" w:rsidP="00101DAF">
      <w:pPr>
        <w:pStyle w:val="FootnoteText"/>
      </w:pPr>
      <w:r>
        <w:rPr>
          <w:rStyle w:val="FootnoteReference"/>
        </w:rPr>
        <w:footnoteRef/>
      </w:r>
      <w:r>
        <w:t xml:space="preserve"> </w:t>
      </w:r>
      <w:r w:rsidRPr="00422B4E">
        <w:t>18 U.S.C. § 922(v)(1)</w:t>
      </w:r>
      <w:r>
        <w:t>.  A</w:t>
      </w:r>
      <w:r w:rsidRPr="00422B4E">
        <w:t xml:space="preserve">ll references to sections of the Violent Crime Control and Law Enforcement Act of 1994, codified at 18 U.S.C. § 921 </w:t>
      </w:r>
      <w:r w:rsidRPr="00422B4E">
        <w:rPr>
          <w:i/>
          <w:iCs/>
        </w:rPr>
        <w:t>et seq.,</w:t>
      </w:r>
      <w:r w:rsidRPr="00422B4E">
        <w:t xml:space="preserve"> are to the sections as they appeared on September 12, 2004.</w:t>
      </w:r>
    </w:p>
  </w:footnote>
  <w:footnote w:id="8">
    <w:p w:rsidR="003667D2" w:rsidRDefault="003667D2" w:rsidP="00684845">
      <w:pPr>
        <w:outlineLvl w:val="0"/>
      </w:pPr>
      <w:r w:rsidRPr="00BB2E3A">
        <w:rPr>
          <w:rStyle w:val="FootnoteReference"/>
          <w:sz w:val="20"/>
          <w:szCs w:val="20"/>
        </w:rPr>
        <w:footnoteRef/>
      </w:r>
      <w:r w:rsidRPr="00BB2E3A">
        <w:rPr>
          <w:sz w:val="20"/>
          <w:szCs w:val="20"/>
        </w:rPr>
        <w:t xml:space="preserve"> </w:t>
      </w:r>
      <w:r w:rsidRPr="006E5927">
        <w:rPr>
          <w:sz w:val="20"/>
          <w:szCs w:val="20"/>
        </w:rPr>
        <w:t>The states that ban assault weapons are: California</w:t>
      </w:r>
      <w:r>
        <w:t xml:space="preserve"> (</w:t>
      </w:r>
      <w:r w:rsidRPr="006E5927">
        <w:rPr>
          <w:bCs/>
          <w:sz w:val="20"/>
          <w:szCs w:val="20"/>
        </w:rPr>
        <w:t>Cal. Penal Code §§ 16350, 16790, 16890, 30500-31115</w:t>
      </w:r>
      <w:r>
        <w:rPr>
          <w:bCs/>
          <w:sz w:val="20"/>
          <w:szCs w:val="20"/>
        </w:rPr>
        <w:t>);</w:t>
      </w:r>
      <w:r w:rsidRPr="006E5927">
        <w:rPr>
          <w:bCs/>
          <w:sz w:val="20"/>
          <w:szCs w:val="20"/>
        </w:rPr>
        <w:t xml:space="preserve"> Connecticut (Conn. Gen. Stat. §§ 53-202a – 53-202o</w:t>
      </w:r>
      <w:r>
        <w:rPr>
          <w:bCs/>
          <w:sz w:val="20"/>
          <w:szCs w:val="20"/>
        </w:rPr>
        <w:t>);</w:t>
      </w:r>
      <w:r w:rsidRPr="006E5927">
        <w:rPr>
          <w:bCs/>
          <w:sz w:val="20"/>
          <w:szCs w:val="20"/>
        </w:rPr>
        <w:t xml:space="preserve"> Hawaii (assault pistols only)( Haw. Rev. Stat. Ann. §§ 134-1, 134-4, 134-8</w:t>
      </w:r>
      <w:r>
        <w:rPr>
          <w:bCs/>
          <w:sz w:val="20"/>
          <w:szCs w:val="20"/>
        </w:rPr>
        <w:t>);</w:t>
      </w:r>
      <w:r w:rsidRPr="006E5927">
        <w:rPr>
          <w:bCs/>
          <w:sz w:val="20"/>
          <w:szCs w:val="20"/>
        </w:rPr>
        <w:t xml:space="preserve"> Maryland (assault pistols only)(</w:t>
      </w:r>
      <w:r w:rsidRPr="006E5927">
        <w:rPr>
          <w:sz w:val="20"/>
          <w:szCs w:val="20"/>
        </w:rPr>
        <w:t xml:space="preserve"> Md. Code Ann.,</w:t>
      </w:r>
      <w:r w:rsidRPr="006E5927">
        <w:rPr>
          <w:bCs/>
          <w:sz w:val="20"/>
          <w:szCs w:val="20"/>
        </w:rPr>
        <w:t xml:space="preserve"> Crim. Law §§ 4-301 – 4-306</w:t>
      </w:r>
      <w:r>
        <w:rPr>
          <w:bCs/>
          <w:sz w:val="20"/>
          <w:szCs w:val="20"/>
        </w:rPr>
        <w:t>);</w:t>
      </w:r>
      <w:r w:rsidRPr="006E5927">
        <w:rPr>
          <w:bCs/>
          <w:sz w:val="20"/>
          <w:szCs w:val="20"/>
        </w:rPr>
        <w:t xml:space="preserve"> Massachusetts (Mass. Gen. Laws ch. 140, §§ 121, 122, 123, 131, 131M</w:t>
      </w:r>
      <w:r>
        <w:rPr>
          <w:bCs/>
          <w:sz w:val="20"/>
          <w:szCs w:val="20"/>
        </w:rPr>
        <w:t>);</w:t>
      </w:r>
      <w:r w:rsidRPr="006E5927">
        <w:rPr>
          <w:bCs/>
          <w:sz w:val="20"/>
          <w:szCs w:val="20"/>
        </w:rPr>
        <w:t xml:space="preserve"> New Jersey (N.J. Stat. Ann. §§ 2C:39-1w, 2C:39-5, 2C:58-5, 2C:58-12, 2C:58-13</w:t>
      </w:r>
      <w:r>
        <w:rPr>
          <w:bCs/>
          <w:sz w:val="20"/>
          <w:szCs w:val="20"/>
        </w:rPr>
        <w:t>);</w:t>
      </w:r>
      <w:r w:rsidRPr="006E5927">
        <w:rPr>
          <w:bCs/>
          <w:sz w:val="20"/>
          <w:szCs w:val="20"/>
        </w:rPr>
        <w:t xml:space="preserve"> and New York (N.Y. Penal Law §§ 265.00(22), 265</w:t>
      </w:r>
      <w:r w:rsidRPr="006E5927">
        <w:rPr>
          <w:sz w:val="20"/>
          <w:szCs w:val="20"/>
        </w:rPr>
        <w:t xml:space="preserve">.02(7), 265.10). The District of Columbia’s ban is codified at </w:t>
      </w:r>
      <w:r w:rsidRPr="006E5927">
        <w:rPr>
          <w:bCs/>
          <w:sz w:val="20"/>
          <w:szCs w:val="20"/>
        </w:rPr>
        <w:t xml:space="preserve">D.C. Code Ann. §§ </w:t>
      </w:r>
      <w:r w:rsidRPr="006E5927">
        <w:rPr>
          <w:sz w:val="20"/>
          <w:szCs w:val="20"/>
        </w:rPr>
        <w:t xml:space="preserve">7-2501.01(3A), 7-2502.02(a)(6), 7-2505.01, 7-2505.02(a), (c).  </w:t>
      </w:r>
    </w:p>
  </w:footnote>
  <w:footnote w:id="9">
    <w:p w:rsidR="003667D2" w:rsidRPr="00BB2E3A" w:rsidRDefault="003667D2" w:rsidP="00BB2E3A">
      <w:pPr>
        <w:outlineLvl w:val="0"/>
      </w:pPr>
      <w:r w:rsidRPr="00BB2E3A">
        <w:rPr>
          <w:rStyle w:val="FootnoteReference"/>
          <w:sz w:val="20"/>
          <w:szCs w:val="20"/>
        </w:rPr>
        <w:footnoteRef/>
      </w:r>
      <w:r w:rsidRPr="00BB2E3A">
        <w:t xml:space="preserve"> </w:t>
      </w:r>
      <w:r w:rsidRPr="006E5927">
        <w:rPr>
          <w:sz w:val="20"/>
          <w:szCs w:val="20"/>
        </w:rPr>
        <w:t>The states that regulate but do not ban assault weapons are Minnesota (</w:t>
      </w:r>
      <w:r w:rsidRPr="006E5927">
        <w:rPr>
          <w:bCs/>
          <w:sz w:val="20"/>
          <w:szCs w:val="20"/>
        </w:rPr>
        <w:t>Minn. Stat. §§ 624.712 – 624.7141</w:t>
      </w:r>
      <w:r w:rsidRPr="006E5927">
        <w:rPr>
          <w:sz w:val="20"/>
          <w:szCs w:val="20"/>
        </w:rPr>
        <w:t>) and Virginia (</w:t>
      </w:r>
      <w:r w:rsidRPr="006E5927">
        <w:rPr>
          <w:bCs/>
          <w:sz w:val="20"/>
          <w:szCs w:val="20"/>
        </w:rPr>
        <w:t>Va. Code Ann. §§ 18.2-287.4</w:t>
      </w:r>
      <w:r w:rsidRPr="006E5927">
        <w:rPr>
          <w:sz w:val="20"/>
          <w:szCs w:val="20"/>
        </w:rPr>
        <w:t>, 18.2-308.2:01, 18.2-308.2:2, 18.2-308.7, 18.2-308.8).</w:t>
      </w:r>
      <w:r w:rsidRPr="006E5927">
        <w:rPr>
          <w:i/>
          <w:sz w:val="20"/>
          <w:szCs w:val="20"/>
        </w:rPr>
        <w:t xml:space="preserve"> </w:t>
      </w:r>
      <w:r w:rsidRPr="006E5927">
        <w:rPr>
          <w:sz w:val="20"/>
          <w:szCs w:val="20"/>
        </w:rPr>
        <w:t>In addition to its ban on assault pistols, Maryland also regulates the sale of other assault weapons. Md. Code Ann., Pub. Safety § 5-101(p).</w:t>
      </w:r>
    </w:p>
  </w:footnote>
  <w:footnote w:id="10">
    <w:p w:rsidR="003667D2" w:rsidRPr="0050424C" w:rsidRDefault="003667D2" w:rsidP="0050424C">
      <w:pPr>
        <w:rPr>
          <w:sz w:val="20"/>
          <w:szCs w:val="20"/>
        </w:rPr>
      </w:pPr>
      <w:r w:rsidRPr="0050424C">
        <w:rPr>
          <w:rStyle w:val="FootnoteReference"/>
          <w:sz w:val="22"/>
          <w:szCs w:val="22"/>
        </w:rPr>
        <w:footnoteRef/>
      </w:r>
      <w:r w:rsidRPr="0050424C">
        <w:rPr>
          <w:sz w:val="22"/>
          <w:szCs w:val="22"/>
        </w:rPr>
        <w:t xml:space="preserve"> </w:t>
      </w:r>
      <w:r w:rsidRPr="0050424C">
        <w:rPr>
          <w:sz w:val="20"/>
          <w:szCs w:val="20"/>
        </w:rPr>
        <w:t xml:space="preserve">Christopher S. Koper, </w:t>
      </w:r>
      <w:hyperlink r:id="rId1" w:tgtFrame="_blank" w:history="1">
        <w:r w:rsidRPr="0050424C">
          <w:rPr>
            <w:rStyle w:val="Hyperlink"/>
            <w:i/>
            <w:iCs/>
            <w:sz w:val="20"/>
            <w:szCs w:val="20"/>
          </w:rPr>
          <w:t>An Updated Assessment of the Federal Assault Weapons Ban: Impacts on Gun</w:t>
        </w:r>
        <w:r>
          <w:rPr>
            <w:rStyle w:val="Hyperlink"/>
            <w:i/>
            <w:iCs/>
            <w:sz w:val="20"/>
            <w:szCs w:val="20"/>
          </w:rPr>
          <w:t xml:space="preserve"> </w:t>
        </w:r>
        <w:r w:rsidRPr="0050424C">
          <w:rPr>
            <w:rStyle w:val="Hyperlink"/>
            <w:i/>
            <w:iCs/>
            <w:sz w:val="20"/>
            <w:szCs w:val="20"/>
          </w:rPr>
          <w:t>Markets and Gun Violence, 1994-2003</w:t>
        </w:r>
      </w:hyperlink>
      <w:r w:rsidRPr="0050424C">
        <w:rPr>
          <w:sz w:val="20"/>
          <w:szCs w:val="20"/>
        </w:rPr>
        <w:t>, Report to the National Institute of Justice, U.S. Department of Justice (June 2004) 49.</w:t>
      </w:r>
    </w:p>
  </w:footnote>
  <w:footnote w:id="11">
    <w:p w:rsidR="003667D2" w:rsidRDefault="003667D2">
      <w:pPr>
        <w:pStyle w:val="FootnoteText"/>
      </w:pPr>
      <w:r>
        <w:rPr>
          <w:rStyle w:val="FootnoteReference"/>
        </w:rPr>
        <w:footnoteRef/>
      </w:r>
      <w:r>
        <w:t xml:space="preserve"> </w:t>
      </w:r>
      <w:hyperlink r:id="rId2" w:tgtFrame="_blank" w:history="1">
        <w:r w:rsidRPr="0050424C">
          <w:rPr>
            <w:rStyle w:val="Emphasis"/>
          </w:rPr>
          <w:t>About the Project: The Hidden Life of Guns</w:t>
        </w:r>
      </w:hyperlink>
      <w:r w:rsidRPr="0050424C">
        <w:t xml:space="preserve">, Wash. Post, Jan. 22, 2011; David S. Fallis &amp; James V. Grimaldi, </w:t>
      </w:r>
      <w:hyperlink w:tgtFrame="_blank" w:history="1">
        <w:r w:rsidRPr="0050424C">
          <w:rPr>
            <w:rStyle w:val="Emphasis"/>
          </w:rPr>
          <w:t>Virginia data show drop in criminal firepower during assault gun ban</w:t>
        </w:r>
      </w:hyperlink>
      <w:r w:rsidRPr="0050424C">
        <w:t>, Wash. Post, Jan. 23, 2011.</w:t>
      </w:r>
    </w:p>
  </w:footnote>
  <w:footnote w:id="12">
    <w:p w:rsidR="003667D2" w:rsidRPr="000223D1" w:rsidRDefault="003667D2" w:rsidP="000223D1">
      <w:pPr>
        <w:pStyle w:val="FootnoteText"/>
      </w:pPr>
      <w:r>
        <w:rPr>
          <w:rStyle w:val="FootnoteReference"/>
          <w:b/>
        </w:rPr>
        <w:footnoteRef/>
      </w:r>
      <w:r w:rsidRPr="000223D1">
        <w:t xml:space="preserve"> Colby Goodman &amp; Michel Marizco, </w:t>
      </w:r>
      <w:r w:rsidRPr="000223D1">
        <w:rPr>
          <w:i/>
        </w:rPr>
        <w:t>U.S. Firearms Trafficking to Mexico: New Data and Insights Illuminate Key Trends and Challenges</w:t>
      </w:r>
      <w:r w:rsidRPr="000223D1">
        <w:t xml:space="preserve">, </w:t>
      </w:r>
      <w:r w:rsidRPr="000223D1">
        <w:rPr>
          <w:i/>
        </w:rPr>
        <w:t>in</w:t>
      </w:r>
      <w:r w:rsidRPr="000223D1">
        <w:t xml:space="preserve"> </w:t>
      </w:r>
      <w:r w:rsidRPr="000223D1">
        <w:rPr>
          <w:smallCaps/>
        </w:rPr>
        <w:t>Shared Responsibility: U.S.-Mexico Policy Options for Confronting Organized Crime</w:t>
      </w:r>
      <w:r w:rsidRPr="000223D1">
        <w:rPr>
          <w:i/>
          <w:smallCaps/>
        </w:rPr>
        <w:t xml:space="preserve"> </w:t>
      </w:r>
      <w:r w:rsidRPr="000223D1">
        <w:t>185 (Eric L. Olson, David A. Shirk &amp; Andrew Selee eds., 2010).</w:t>
      </w:r>
    </w:p>
  </w:footnote>
  <w:footnote w:id="13">
    <w:p w:rsidR="003667D2" w:rsidRDefault="003667D2" w:rsidP="00FA17B5">
      <w:pPr>
        <w:pStyle w:val="FootnoteText"/>
      </w:pPr>
      <w:r>
        <w:rPr>
          <w:rStyle w:val="FootnoteReference"/>
        </w:rPr>
        <w:footnoteRef/>
      </w:r>
      <w:r>
        <w:t xml:space="preserve"> </w:t>
      </w:r>
      <w:r>
        <w:rPr>
          <w:color w:val="000000"/>
        </w:rPr>
        <w:t xml:space="preserve">U.S. Department of Justice, </w:t>
      </w:r>
      <w:r>
        <w:t xml:space="preserve">Bureau of Alcohol, Tobacco and Firearms and Explosives, Office of Strategic Intelligence and Information, International Firearms Trace Data, </w:t>
      </w:r>
      <w:r w:rsidRPr="00083460">
        <w:rPr>
          <w:i/>
        </w:rPr>
        <w:t>Mexico 2007-2011</w:t>
      </w:r>
      <w:r>
        <w:t xml:space="preserve"> (March 2012), </w:t>
      </w:r>
      <w:r w:rsidRPr="00083460">
        <w:rPr>
          <w:i/>
        </w:rPr>
        <w:t>available at:</w:t>
      </w:r>
      <w:r>
        <w:t xml:space="preserve"> </w:t>
      </w:r>
      <w:hyperlink r:id="rId3" w:history="1">
        <w:r w:rsidRPr="006949F9">
          <w:rPr>
            <w:rStyle w:val="Hyperlink"/>
          </w:rPr>
          <w:t>http://www.atf.gov/statistics/download/trace-data/international/2007-2011-Mexico-trace-data.pdf</w:t>
        </w:r>
      </w:hyperlink>
      <w:r>
        <w:t>.</w:t>
      </w:r>
    </w:p>
  </w:footnote>
  <w:footnote w:id="14">
    <w:p w:rsidR="003667D2" w:rsidRDefault="003667D2">
      <w:pPr>
        <w:pStyle w:val="FootnoteText"/>
      </w:pPr>
      <w:r>
        <w:rPr>
          <w:rStyle w:val="FootnoteReference"/>
        </w:rPr>
        <w:footnoteRef/>
      </w:r>
      <w:r>
        <w:t xml:space="preserve"> </w:t>
      </w:r>
      <w:r w:rsidRPr="00083460">
        <w:rPr>
          <w:i/>
        </w:rPr>
        <w:t>Id.</w:t>
      </w:r>
      <w:r>
        <w:t xml:space="preserve"> </w:t>
      </w:r>
    </w:p>
  </w:footnote>
  <w:footnote w:id="15">
    <w:p w:rsidR="003667D2" w:rsidRDefault="003667D2">
      <w:pPr>
        <w:pStyle w:val="FootnoteText"/>
      </w:pPr>
      <w:r>
        <w:rPr>
          <w:rStyle w:val="FootnoteReference"/>
        </w:rPr>
        <w:footnoteRef/>
      </w:r>
      <w:r>
        <w:t xml:space="preserve"> Arindrajit Dube, Oeindrila Dube, &amp; Omar Garcia Ponce, </w:t>
      </w:r>
      <w:r w:rsidRPr="009974F4">
        <w:rPr>
          <w:i/>
        </w:rPr>
        <w:t>Cross-Border Spillover: U.S. Gun Laws and Violence in Mexico</w:t>
      </w:r>
      <w:r>
        <w:t xml:space="preserve"> (August 13, 2012). APSA 2012 Annual Meeting Paper, </w:t>
      </w:r>
      <w:r w:rsidRPr="0020781D">
        <w:rPr>
          <w:i/>
        </w:rPr>
        <w:t>available at</w:t>
      </w:r>
      <w:r>
        <w:rPr>
          <w:i/>
        </w:rPr>
        <w:t xml:space="preserve"> </w:t>
      </w:r>
      <w:r>
        <w:t xml:space="preserve"> SSRN: http://ssrn.com/abstract=2108854.</w:t>
      </w:r>
    </w:p>
  </w:footnote>
  <w:footnote w:id="16">
    <w:p w:rsidR="003667D2" w:rsidRDefault="003667D2">
      <w:pPr>
        <w:pStyle w:val="FootnoteText"/>
      </w:pPr>
      <w:r>
        <w:rPr>
          <w:rStyle w:val="FootnoteReference"/>
        </w:rPr>
        <w:footnoteRef/>
      </w:r>
      <w:r>
        <w:t xml:space="preserve"> </w:t>
      </w:r>
      <w:r>
        <w:rPr>
          <w:rStyle w:val="Emphasis"/>
        </w:rPr>
        <w:t>District of Columbia v. Heller</w:t>
      </w:r>
      <w:r>
        <w:t>, 554 U.S. 570 (2008).</w:t>
      </w:r>
    </w:p>
  </w:footnote>
  <w:footnote w:id="17">
    <w:p w:rsidR="003667D2" w:rsidRDefault="003667D2">
      <w:pPr>
        <w:pStyle w:val="FootnoteText"/>
      </w:pPr>
      <w:r>
        <w:rPr>
          <w:rStyle w:val="FootnoteReference"/>
        </w:rPr>
        <w:footnoteRef/>
      </w:r>
      <w:r>
        <w:t xml:space="preserve"> </w:t>
      </w:r>
      <w:r w:rsidRPr="00537DEA">
        <w:rPr>
          <w:i/>
        </w:rPr>
        <w:t>Id.</w:t>
      </w:r>
      <w:r>
        <w:t xml:space="preserve"> at 626-28.</w:t>
      </w:r>
    </w:p>
  </w:footnote>
  <w:footnote w:id="18">
    <w:p w:rsidR="003667D2" w:rsidRDefault="003667D2">
      <w:pPr>
        <w:pStyle w:val="FootnoteText"/>
      </w:pPr>
      <w:r>
        <w:rPr>
          <w:rStyle w:val="FootnoteReference"/>
        </w:rPr>
        <w:footnoteRef/>
      </w:r>
      <w:r>
        <w:t xml:space="preserve"> </w:t>
      </w:r>
      <w:r>
        <w:rPr>
          <w:rStyle w:val="Emphasis"/>
        </w:rPr>
        <w:t>Heller v. District of Columbia</w:t>
      </w:r>
      <w:r>
        <w:t>, 670 F.3d 1244 (D.C. Cir. 2011).</w:t>
      </w:r>
    </w:p>
  </w:footnote>
  <w:footnote w:id="19">
    <w:p w:rsidR="003667D2" w:rsidRDefault="003667D2">
      <w:pPr>
        <w:pStyle w:val="FootnoteText"/>
      </w:pPr>
      <w:r>
        <w:rPr>
          <w:rStyle w:val="FootnoteReference"/>
        </w:rPr>
        <w:footnoteRef/>
      </w:r>
      <w:r>
        <w:t xml:space="preserve"> CNN Poll: </w:t>
      </w:r>
      <w:r w:rsidRPr="000671E8">
        <w:rPr>
          <w:i/>
        </w:rPr>
        <w:t>Gun Control Opinions Following Shootings</w:t>
      </w:r>
      <w:r>
        <w:t xml:space="preserve"> (Aug. 9, 2012)(citing a national poll of 1,010 Americans conducted by ORC International from August 7-8, 2012), </w:t>
      </w:r>
      <w:r w:rsidRPr="007C74B3">
        <w:rPr>
          <w:i/>
        </w:rPr>
        <w:t>available at</w:t>
      </w:r>
      <w:r>
        <w:t xml:space="preserve"> </w:t>
      </w:r>
      <w:r w:rsidRPr="007C74B3">
        <w:t>http://politicalticker.blogs.cnn.com/2012/08/09/cnn-poll-gun-control-opinions-in-wake-of-shootings/</w:t>
      </w:r>
      <w:r>
        <w:t>.</w:t>
      </w:r>
    </w:p>
  </w:footnote>
  <w:footnote w:id="20">
    <w:p w:rsidR="003667D2" w:rsidRDefault="003667D2" w:rsidP="00FA17B5">
      <w:pPr>
        <w:pStyle w:val="FootnoteText"/>
        <w:spacing w:before="40"/>
      </w:pPr>
      <w:r>
        <w:rPr>
          <w:rStyle w:val="FootnoteReference"/>
        </w:rPr>
        <w:footnoteRef/>
      </w:r>
      <w:r>
        <w:t xml:space="preserve"> Field &amp; Stream, </w:t>
      </w:r>
      <w:r>
        <w:rPr>
          <w:i/>
        </w:rPr>
        <w:t>The 2003 National Hunting Survey</w:t>
      </w:r>
      <w:r>
        <w:t xml:space="preserve"> (July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F4D44"/>
    <w:multiLevelType w:val="hybridMultilevel"/>
    <w:tmpl w:val="B26415CA"/>
    <w:lvl w:ilvl="0" w:tplc="63C4D9C4">
      <w:start w:val="2"/>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46A49B3"/>
    <w:multiLevelType w:val="multilevel"/>
    <w:tmpl w:val="433E0A18"/>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2"/>
  <w:displayVerticalDrawingGridEvery w:val="2"/>
  <w:noPunctuationKerning/>
  <w:characterSpacingControl w:val="doNotCompress"/>
  <w:hdrShapeDefaults>
    <o:shapedefaults v:ext="edit" spidmax="6145" style="mso-position-vertical-relative:line"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EA5"/>
    <w:rsid w:val="00005901"/>
    <w:rsid w:val="00015926"/>
    <w:rsid w:val="00020D59"/>
    <w:rsid w:val="000223D1"/>
    <w:rsid w:val="00025FC8"/>
    <w:rsid w:val="00030EFD"/>
    <w:rsid w:val="000330D7"/>
    <w:rsid w:val="000352CE"/>
    <w:rsid w:val="00035A4D"/>
    <w:rsid w:val="000457FA"/>
    <w:rsid w:val="00047528"/>
    <w:rsid w:val="000576D7"/>
    <w:rsid w:val="000611D4"/>
    <w:rsid w:val="000637C8"/>
    <w:rsid w:val="000671E8"/>
    <w:rsid w:val="00072A20"/>
    <w:rsid w:val="00077AC9"/>
    <w:rsid w:val="000802F4"/>
    <w:rsid w:val="00083460"/>
    <w:rsid w:val="00092702"/>
    <w:rsid w:val="000B31ED"/>
    <w:rsid w:val="000B79E1"/>
    <w:rsid w:val="000C50F4"/>
    <w:rsid w:val="000C61BD"/>
    <w:rsid w:val="000D091B"/>
    <w:rsid w:val="000E1AA6"/>
    <w:rsid w:val="000F101D"/>
    <w:rsid w:val="000F5761"/>
    <w:rsid w:val="00100740"/>
    <w:rsid w:val="001012D5"/>
    <w:rsid w:val="00101DAF"/>
    <w:rsid w:val="001115C5"/>
    <w:rsid w:val="00113C30"/>
    <w:rsid w:val="001224EC"/>
    <w:rsid w:val="0012443B"/>
    <w:rsid w:val="001255B5"/>
    <w:rsid w:val="0012581B"/>
    <w:rsid w:val="00133FE6"/>
    <w:rsid w:val="00143D88"/>
    <w:rsid w:val="001523DA"/>
    <w:rsid w:val="00153187"/>
    <w:rsid w:val="00162619"/>
    <w:rsid w:val="001646D4"/>
    <w:rsid w:val="0017101C"/>
    <w:rsid w:val="00172DBD"/>
    <w:rsid w:val="00182D8E"/>
    <w:rsid w:val="00192EC5"/>
    <w:rsid w:val="001970FD"/>
    <w:rsid w:val="00197441"/>
    <w:rsid w:val="00197EF6"/>
    <w:rsid w:val="001A13ED"/>
    <w:rsid w:val="001A1EBB"/>
    <w:rsid w:val="001A4EA4"/>
    <w:rsid w:val="001B1880"/>
    <w:rsid w:val="001C73F2"/>
    <w:rsid w:val="001D127F"/>
    <w:rsid w:val="001D4BBE"/>
    <w:rsid w:val="001F1DD5"/>
    <w:rsid w:val="001F2484"/>
    <w:rsid w:val="001F2F48"/>
    <w:rsid w:val="002030D4"/>
    <w:rsid w:val="0020781D"/>
    <w:rsid w:val="0021355E"/>
    <w:rsid w:val="00215003"/>
    <w:rsid w:val="00222C42"/>
    <w:rsid w:val="00224661"/>
    <w:rsid w:val="00224B5D"/>
    <w:rsid w:val="00236EA5"/>
    <w:rsid w:val="002448F1"/>
    <w:rsid w:val="00260031"/>
    <w:rsid w:val="002627A0"/>
    <w:rsid w:val="002809ED"/>
    <w:rsid w:val="00293C6B"/>
    <w:rsid w:val="002A5E9D"/>
    <w:rsid w:val="002B2E9C"/>
    <w:rsid w:val="002B3DEF"/>
    <w:rsid w:val="002B5FAD"/>
    <w:rsid w:val="002C615D"/>
    <w:rsid w:val="002C6CC7"/>
    <w:rsid w:val="002D0176"/>
    <w:rsid w:val="002E42DA"/>
    <w:rsid w:val="002E4B3B"/>
    <w:rsid w:val="002E6E55"/>
    <w:rsid w:val="002E723F"/>
    <w:rsid w:val="002F0A43"/>
    <w:rsid w:val="002F2F66"/>
    <w:rsid w:val="002F4AE8"/>
    <w:rsid w:val="00302CAE"/>
    <w:rsid w:val="00316F45"/>
    <w:rsid w:val="00322960"/>
    <w:rsid w:val="0032628D"/>
    <w:rsid w:val="00331590"/>
    <w:rsid w:val="00334D9C"/>
    <w:rsid w:val="003369D1"/>
    <w:rsid w:val="00340069"/>
    <w:rsid w:val="00341656"/>
    <w:rsid w:val="00345CB9"/>
    <w:rsid w:val="00352B6B"/>
    <w:rsid w:val="00362B98"/>
    <w:rsid w:val="00363836"/>
    <w:rsid w:val="003667D2"/>
    <w:rsid w:val="0037094B"/>
    <w:rsid w:val="0037126F"/>
    <w:rsid w:val="003716F9"/>
    <w:rsid w:val="003752B5"/>
    <w:rsid w:val="00386631"/>
    <w:rsid w:val="003917B8"/>
    <w:rsid w:val="00391CBE"/>
    <w:rsid w:val="00397F2C"/>
    <w:rsid w:val="003A5D7E"/>
    <w:rsid w:val="003A79AB"/>
    <w:rsid w:val="003C3851"/>
    <w:rsid w:val="003C4FE8"/>
    <w:rsid w:val="003C6A6B"/>
    <w:rsid w:val="003D4D73"/>
    <w:rsid w:val="003D7B99"/>
    <w:rsid w:val="003F08A7"/>
    <w:rsid w:val="0040153F"/>
    <w:rsid w:val="0040340A"/>
    <w:rsid w:val="00404F7C"/>
    <w:rsid w:val="00406F31"/>
    <w:rsid w:val="00413655"/>
    <w:rsid w:val="004157D7"/>
    <w:rsid w:val="00442D65"/>
    <w:rsid w:val="00447F1A"/>
    <w:rsid w:val="004563DE"/>
    <w:rsid w:val="0045697A"/>
    <w:rsid w:val="00460ABA"/>
    <w:rsid w:val="00460E5C"/>
    <w:rsid w:val="00462D93"/>
    <w:rsid w:val="00467214"/>
    <w:rsid w:val="00470256"/>
    <w:rsid w:val="00486EFB"/>
    <w:rsid w:val="004933C3"/>
    <w:rsid w:val="00495449"/>
    <w:rsid w:val="004A00B8"/>
    <w:rsid w:val="004A19B4"/>
    <w:rsid w:val="004A4469"/>
    <w:rsid w:val="004B01D0"/>
    <w:rsid w:val="004B3729"/>
    <w:rsid w:val="004C2BCD"/>
    <w:rsid w:val="004C632A"/>
    <w:rsid w:val="004C6951"/>
    <w:rsid w:val="004C744C"/>
    <w:rsid w:val="004C7456"/>
    <w:rsid w:val="004D11D5"/>
    <w:rsid w:val="004E0105"/>
    <w:rsid w:val="004E48DA"/>
    <w:rsid w:val="004F1631"/>
    <w:rsid w:val="00501A4E"/>
    <w:rsid w:val="0050424C"/>
    <w:rsid w:val="0051185D"/>
    <w:rsid w:val="00516B8E"/>
    <w:rsid w:val="00516C40"/>
    <w:rsid w:val="005255A7"/>
    <w:rsid w:val="00526A78"/>
    <w:rsid w:val="0053409A"/>
    <w:rsid w:val="005368A9"/>
    <w:rsid w:val="00537DEA"/>
    <w:rsid w:val="00543124"/>
    <w:rsid w:val="0055371E"/>
    <w:rsid w:val="00553B6A"/>
    <w:rsid w:val="0055575C"/>
    <w:rsid w:val="00556B15"/>
    <w:rsid w:val="00562B0C"/>
    <w:rsid w:val="00582DF4"/>
    <w:rsid w:val="00583968"/>
    <w:rsid w:val="00584B23"/>
    <w:rsid w:val="005942CA"/>
    <w:rsid w:val="00596747"/>
    <w:rsid w:val="00596E5A"/>
    <w:rsid w:val="005A4E41"/>
    <w:rsid w:val="005A546C"/>
    <w:rsid w:val="005B0D7D"/>
    <w:rsid w:val="005B3A99"/>
    <w:rsid w:val="005B57EA"/>
    <w:rsid w:val="005B7F68"/>
    <w:rsid w:val="005C1D51"/>
    <w:rsid w:val="005C20F8"/>
    <w:rsid w:val="005C68EA"/>
    <w:rsid w:val="005D1697"/>
    <w:rsid w:val="005D24E4"/>
    <w:rsid w:val="005D3747"/>
    <w:rsid w:val="005E516D"/>
    <w:rsid w:val="005F2FB3"/>
    <w:rsid w:val="005F43E8"/>
    <w:rsid w:val="005F4F45"/>
    <w:rsid w:val="0060412D"/>
    <w:rsid w:val="006131C9"/>
    <w:rsid w:val="006216BA"/>
    <w:rsid w:val="00621DD6"/>
    <w:rsid w:val="00631AB4"/>
    <w:rsid w:val="0063274A"/>
    <w:rsid w:val="006354D6"/>
    <w:rsid w:val="0064086B"/>
    <w:rsid w:val="006721B4"/>
    <w:rsid w:val="006819A0"/>
    <w:rsid w:val="00681D03"/>
    <w:rsid w:val="00684845"/>
    <w:rsid w:val="00690E45"/>
    <w:rsid w:val="00692806"/>
    <w:rsid w:val="006B31F8"/>
    <w:rsid w:val="006B64E4"/>
    <w:rsid w:val="006B69B7"/>
    <w:rsid w:val="006B78E5"/>
    <w:rsid w:val="006D494A"/>
    <w:rsid w:val="006E3C91"/>
    <w:rsid w:val="006E6ADF"/>
    <w:rsid w:val="006F0670"/>
    <w:rsid w:val="006F6E51"/>
    <w:rsid w:val="00702C98"/>
    <w:rsid w:val="00715503"/>
    <w:rsid w:val="00722FE1"/>
    <w:rsid w:val="0072604B"/>
    <w:rsid w:val="00731E6E"/>
    <w:rsid w:val="00734B5C"/>
    <w:rsid w:val="007408B9"/>
    <w:rsid w:val="0074524B"/>
    <w:rsid w:val="007477F8"/>
    <w:rsid w:val="00752671"/>
    <w:rsid w:val="00754072"/>
    <w:rsid w:val="007575F0"/>
    <w:rsid w:val="0076441B"/>
    <w:rsid w:val="00764681"/>
    <w:rsid w:val="00766CA2"/>
    <w:rsid w:val="00770940"/>
    <w:rsid w:val="00771AC2"/>
    <w:rsid w:val="007866BC"/>
    <w:rsid w:val="00792277"/>
    <w:rsid w:val="007941BF"/>
    <w:rsid w:val="0079449C"/>
    <w:rsid w:val="007A4547"/>
    <w:rsid w:val="007A7A81"/>
    <w:rsid w:val="007B02CC"/>
    <w:rsid w:val="007B0E97"/>
    <w:rsid w:val="007B28F0"/>
    <w:rsid w:val="007C271F"/>
    <w:rsid w:val="007C74B3"/>
    <w:rsid w:val="007C7AEF"/>
    <w:rsid w:val="007C7F4A"/>
    <w:rsid w:val="007E0E05"/>
    <w:rsid w:val="007E1596"/>
    <w:rsid w:val="007E74EA"/>
    <w:rsid w:val="007F1891"/>
    <w:rsid w:val="007F4902"/>
    <w:rsid w:val="007F7902"/>
    <w:rsid w:val="0080202B"/>
    <w:rsid w:val="0080227D"/>
    <w:rsid w:val="00805E8C"/>
    <w:rsid w:val="0081252F"/>
    <w:rsid w:val="00815698"/>
    <w:rsid w:val="00821FA5"/>
    <w:rsid w:val="008315EA"/>
    <w:rsid w:val="00846965"/>
    <w:rsid w:val="00850B8D"/>
    <w:rsid w:val="00853E3F"/>
    <w:rsid w:val="00854060"/>
    <w:rsid w:val="00855303"/>
    <w:rsid w:val="00855A13"/>
    <w:rsid w:val="00857C55"/>
    <w:rsid w:val="00866FE3"/>
    <w:rsid w:val="00871D53"/>
    <w:rsid w:val="00872A64"/>
    <w:rsid w:val="00882304"/>
    <w:rsid w:val="00887695"/>
    <w:rsid w:val="00891D86"/>
    <w:rsid w:val="008957AB"/>
    <w:rsid w:val="00895971"/>
    <w:rsid w:val="008A053B"/>
    <w:rsid w:val="008A08C5"/>
    <w:rsid w:val="008B14E8"/>
    <w:rsid w:val="008B639E"/>
    <w:rsid w:val="008C23EE"/>
    <w:rsid w:val="008D1860"/>
    <w:rsid w:val="008D2425"/>
    <w:rsid w:val="008D32F3"/>
    <w:rsid w:val="008D5B9E"/>
    <w:rsid w:val="008D647E"/>
    <w:rsid w:val="008E14A9"/>
    <w:rsid w:val="008E3960"/>
    <w:rsid w:val="008E428B"/>
    <w:rsid w:val="008E4386"/>
    <w:rsid w:val="008F1CE5"/>
    <w:rsid w:val="008F2762"/>
    <w:rsid w:val="008F6259"/>
    <w:rsid w:val="008F68B2"/>
    <w:rsid w:val="00902740"/>
    <w:rsid w:val="00906905"/>
    <w:rsid w:val="00914046"/>
    <w:rsid w:val="00916D46"/>
    <w:rsid w:val="00920560"/>
    <w:rsid w:val="00924DCA"/>
    <w:rsid w:val="00927C76"/>
    <w:rsid w:val="00935CA4"/>
    <w:rsid w:val="00937D18"/>
    <w:rsid w:val="0095442F"/>
    <w:rsid w:val="00970756"/>
    <w:rsid w:val="00972A17"/>
    <w:rsid w:val="009739D4"/>
    <w:rsid w:val="009835BE"/>
    <w:rsid w:val="00985A95"/>
    <w:rsid w:val="009974F4"/>
    <w:rsid w:val="009A270F"/>
    <w:rsid w:val="009A7C00"/>
    <w:rsid w:val="009B1CDF"/>
    <w:rsid w:val="009B5A2E"/>
    <w:rsid w:val="009C3564"/>
    <w:rsid w:val="009D3509"/>
    <w:rsid w:val="009D4FBD"/>
    <w:rsid w:val="009D6415"/>
    <w:rsid w:val="009E314A"/>
    <w:rsid w:val="00A06B24"/>
    <w:rsid w:val="00A13A0A"/>
    <w:rsid w:val="00A16447"/>
    <w:rsid w:val="00A20A2D"/>
    <w:rsid w:val="00A232ED"/>
    <w:rsid w:val="00A26A7D"/>
    <w:rsid w:val="00A34B67"/>
    <w:rsid w:val="00A40FBA"/>
    <w:rsid w:val="00A50103"/>
    <w:rsid w:val="00A50171"/>
    <w:rsid w:val="00A51DD0"/>
    <w:rsid w:val="00A51F1F"/>
    <w:rsid w:val="00A531E3"/>
    <w:rsid w:val="00A56F10"/>
    <w:rsid w:val="00A62892"/>
    <w:rsid w:val="00A62C44"/>
    <w:rsid w:val="00A63B80"/>
    <w:rsid w:val="00A648D5"/>
    <w:rsid w:val="00A65FA5"/>
    <w:rsid w:val="00A66D65"/>
    <w:rsid w:val="00A7211B"/>
    <w:rsid w:val="00A72234"/>
    <w:rsid w:val="00A742B6"/>
    <w:rsid w:val="00A811EB"/>
    <w:rsid w:val="00A83C28"/>
    <w:rsid w:val="00A878EA"/>
    <w:rsid w:val="00AA3F6E"/>
    <w:rsid w:val="00AA7ABE"/>
    <w:rsid w:val="00AC2CD8"/>
    <w:rsid w:val="00AC3C87"/>
    <w:rsid w:val="00AD2535"/>
    <w:rsid w:val="00AD67FA"/>
    <w:rsid w:val="00AE086D"/>
    <w:rsid w:val="00AE1482"/>
    <w:rsid w:val="00AE35AF"/>
    <w:rsid w:val="00AE47FE"/>
    <w:rsid w:val="00AE499D"/>
    <w:rsid w:val="00AE6E84"/>
    <w:rsid w:val="00AE7CF5"/>
    <w:rsid w:val="00AF2A18"/>
    <w:rsid w:val="00AF4C22"/>
    <w:rsid w:val="00AF649C"/>
    <w:rsid w:val="00B05394"/>
    <w:rsid w:val="00B12603"/>
    <w:rsid w:val="00B12E3C"/>
    <w:rsid w:val="00B15878"/>
    <w:rsid w:val="00B15AEC"/>
    <w:rsid w:val="00B16E23"/>
    <w:rsid w:val="00B16E32"/>
    <w:rsid w:val="00B17E7A"/>
    <w:rsid w:val="00B34660"/>
    <w:rsid w:val="00B3617C"/>
    <w:rsid w:val="00B415D0"/>
    <w:rsid w:val="00B56EC8"/>
    <w:rsid w:val="00B64615"/>
    <w:rsid w:val="00B6752A"/>
    <w:rsid w:val="00B67C25"/>
    <w:rsid w:val="00B7568E"/>
    <w:rsid w:val="00B76EA4"/>
    <w:rsid w:val="00B77D8A"/>
    <w:rsid w:val="00B85FF4"/>
    <w:rsid w:val="00B86E5C"/>
    <w:rsid w:val="00B8752F"/>
    <w:rsid w:val="00B928FA"/>
    <w:rsid w:val="00BA1B74"/>
    <w:rsid w:val="00BA5D4F"/>
    <w:rsid w:val="00BB02B4"/>
    <w:rsid w:val="00BB2E3A"/>
    <w:rsid w:val="00BB7C33"/>
    <w:rsid w:val="00BC7D13"/>
    <w:rsid w:val="00BD3017"/>
    <w:rsid w:val="00BD570B"/>
    <w:rsid w:val="00BD5F3C"/>
    <w:rsid w:val="00BE56ED"/>
    <w:rsid w:val="00BF46C9"/>
    <w:rsid w:val="00C02925"/>
    <w:rsid w:val="00C21A5C"/>
    <w:rsid w:val="00C2420A"/>
    <w:rsid w:val="00C250B7"/>
    <w:rsid w:val="00C3120B"/>
    <w:rsid w:val="00C31742"/>
    <w:rsid w:val="00C35DD7"/>
    <w:rsid w:val="00C42C50"/>
    <w:rsid w:val="00C45F26"/>
    <w:rsid w:val="00C4732E"/>
    <w:rsid w:val="00C51D0D"/>
    <w:rsid w:val="00C53C18"/>
    <w:rsid w:val="00C57377"/>
    <w:rsid w:val="00C61C03"/>
    <w:rsid w:val="00C62592"/>
    <w:rsid w:val="00C63D02"/>
    <w:rsid w:val="00C63D92"/>
    <w:rsid w:val="00C67B7E"/>
    <w:rsid w:val="00C73155"/>
    <w:rsid w:val="00C7398E"/>
    <w:rsid w:val="00C92CA9"/>
    <w:rsid w:val="00C95B83"/>
    <w:rsid w:val="00C962CD"/>
    <w:rsid w:val="00C97C22"/>
    <w:rsid w:val="00CA2B5B"/>
    <w:rsid w:val="00CA4730"/>
    <w:rsid w:val="00CA6EF3"/>
    <w:rsid w:val="00CA7149"/>
    <w:rsid w:val="00CB0242"/>
    <w:rsid w:val="00CB46EC"/>
    <w:rsid w:val="00CB5125"/>
    <w:rsid w:val="00CB5EC3"/>
    <w:rsid w:val="00CB79F8"/>
    <w:rsid w:val="00CC5AF6"/>
    <w:rsid w:val="00CC7E25"/>
    <w:rsid w:val="00CD54AA"/>
    <w:rsid w:val="00CD6E1F"/>
    <w:rsid w:val="00CE48F5"/>
    <w:rsid w:val="00CE5A3F"/>
    <w:rsid w:val="00CF4FBD"/>
    <w:rsid w:val="00CF52F7"/>
    <w:rsid w:val="00D07AE6"/>
    <w:rsid w:val="00D11DA2"/>
    <w:rsid w:val="00D1275E"/>
    <w:rsid w:val="00D17D16"/>
    <w:rsid w:val="00D23475"/>
    <w:rsid w:val="00D25121"/>
    <w:rsid w:val="00D25AE1"/>
    <w:rsid w:val="00D27D32"/>
    <w:rsid w:val="00D33360"/>
    <w:rsid w:val="00D3396D"/>
    <w:rsid w:val="00D51AA0"/>
    <w:rsid w:val="00D530E9"/>
    <w:rsid w:val="00D54590"/>
    <w:rsid w:val="00D64240"/>
    <w:rsid w:val="00D65B4C"/>
    <w:rsid w:val="00D6616D"/>
    <w:rsid w:val="00D67809"/>
    <w:rsid w:val="00D842AF"/>
    <w:rsid w:val="00D90725"/>
    <w:rsid w:val="00D93838"/>
    <w:rsid w:val="00D96292"/>
    <w:rsid w:val="00DA1954"/>
    <w:rsid w:val="00DB0D28"/>
    <w:rsid w:val="00DB6D2B"/>
    <w:rsid w:val="00DC1559"/>
    <w:rsid w:val="00DC1CAA"/>
    <w:rsid w:val="00DC3467"/>
    <w:rsid w:val="00DE17B1"/>
    <w:rsid w:val="00DE5AB3"/>
    <w:rsid w:val="00DE6F90"/>
    <w:rsid w:val="00DF1F18"/>
    <w:rsid w:val="00DF5E6E"/>
    <w:rsid w:val="00E02821"/>
    <w:rsid w:val="00E03AE6"/>
    <w:rsid w:val="00E06D97"/>
    <w:rsid w:val="00E16EFF"/>
    <w:rsid w:val="00E219A8"/>
    <w:rsid w:val="00E267A0"/>
    <w:rsid w:val="00E2748E"/>
    <w:rsid w:val="00E4475D"/>
    <w:rsid w:val="00E45010"/>
    <w:rsid w:val="00E50D45"/>
    <w:rsid w:val="00E52E0F"/>
    <w:rsid w:val="00E6126C"/>
    <w:rsid w:val="00E63B61"/>
    <w:rsid w:val="00E640F4"/>
    <w:rsid w:val="00E648A0"/>
    <w:rsid w:val="00E7141C"/>
    <w:rsid w:val="00E76EBA"/>
    <w:rsid w:val="00E77EB9"/>
    <w:rsid w:val="00E810B2"/>
    <w:rsid w:val="00E8420B"/>
    <w:rsid w:val="00E842CE"/>
    <w:rsid w:val="00E951CA"/>
    <w:rsid w:val="00E959CD"/>
    <w:rsid w:val="00EA569D"/>
    <w:rsid w:val="00EC5FEB"/>
    <w:rsid w:val="00EC71FF"/>
    <w:rsid w:val="00ED0D70"/>
    <w:rsid w:val="00EE3528"/>
    <w:rsid w:val="00EE7B57"/>
    <w:rsid w:val="00EF2EA3"/>
    <w:rsid w:val="00EF4157"/>
    <w:rsid w:val="00F000EE"/>
    <w:rsid w:val="00F009CB"/>
    <w:rsid w:val="00F05C37"/>
    <w:rsid w:val="00F06CC5"/>
    <w:rsid w:val="00F129D0"/>
    <w:rsid w:val="00F152D6"/>
    <w:rsid w:val="00F163AF"/>
    <w:rsid w:val="00F2134E"/>
    <w:rsid w:val="00F26E1C"/>
    <w:rsid w:val="00F365D2"/>
    <w:rsid w:val="00F443F9"/>
    <w:rsid w:val="00F52543"/>
    <w:rsid w:val="00F53435"/>
    <w:rsid w:val="00F666DD"/>
    <w:rsid w:val="00F67878"/>
    <w:rsid w:val="00F71968"/>
    <w:rsid w:val="00F731DA"/>
    <w:rsid w:val="00F74C51"/>
    <w:rsid w:val="00F768AB"/>
    <w:rsid w:val="00F7749A"/>
    <w:rsid w:val="00F81B7D"/>
    <w:rsid w:val="00F87700"/>
    <w:rsid w:val="00F92D26"/>
    <w:rsid w:val="00F930C9"/>
    <w:rsid w:val="00F9418E"/>
    <w:rsid w:val="00F97315"/>
    <w:rsid w:val="00FA17B5"/>
    <w:rsid w:val="00FB34D2"/>
    <w:rsid w:val="00FC49EB"/>
    <w:rsid w:val="00FE148B"/>
    <w:rsid w:val="00FF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style="mso-position-vertical-relative:line"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uiPriority w:val="99"/>
    <w:pPr>
      <w:spacing w:before="100" w:beforeAutospacing="1" w:after="100" w:afterAutospacing="1"/>
    </w:pPr>
  </w:style>
  <w:style w:type="paragraph" w:styleId="BodyText">
    <w:name w:val="Body Text"/>
    <w:basedOn w:val="Normal"/>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nonproportionaltextfont">
    <w:name w:val="nonproportionaltextfont"/>
    <w:basedOn w:val="DefaultParagraphFont"/>
    <w:rPr>
      <w:rFonts w:ascii="Courier" w:hAnsi="Courier" w:hint="default"/>
      <w:sz w:val="20"/>
      <w:szCs w:val="20"/>
    </w:rPr>
  </w:style>
  <w:style w:type="paragraph" w:customStyle="1" w:styleId="Normal1">
    <w:name w:val="Normal1"/>
    <w:basedOn w:val="Normal"/>
    <w:pPr>
      <w:spacing w:after="68"/>
      <w:ind w:firstLine="200"/>
    </w:pPr>
    <w:rPr>
      <w:rFonts w:ascii="Verdana" w:hAnsi="Verdana"/>
      <w:color w:val="000000"/>
      <w:sz w:val="16"/>
      <w:szCs w:val="16"/>
    </w:rPr>
  </w:style>
  <w:style w:type="paragraph" w:customStyle="1" w:styleId="pullquote">
    <w:name w:val="pullquote"/>
    <w:basedOn w:val="Normal"/>
    <w:pPr>
      <w:spacing w:after="68"/>
    </w:pPr>
    <w:rPr>
      <w:rFonts w:ascii="Arial" w:hAnsi="Arial" w:cs="Arial"/>
      <w:b/>
      <w:bCs/>
      <w:sz w:val="19"/>
      <w:szCs w:val="19"/>
    </w:rPr>
  </w:style>
  <w:style w:type="paragraph" w:customStyle="1" w:styleId="small">
    <w:name w:val="small"/>
    <w:basedOn w:val="Normal"/>
    <w:pPr>
      <w:spacing w:after="68"/>
    </w:pPr>
    <w:rPr>
      <w:rFonts w:ascii="Verdana" w:hAnsi="Verdana"/>
      <w:color w:val="000000"/>
      <w:sz w:val="14"/>
      <w:szCs w:val="14"/>
    </w:r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styleId="FootnoteText">
    <w:name w:val="footnote text"/>
    <w:basedOn w:val="Normal"/>
    <w:link w:val="FootnoteTextChar"/>
    <w:uiPriority w:val="99"/>
    <w:semiHidden/>
    <w:rPr>
      <w:sz w:val="20"/>
      <w:szCs w:val="20"/>
    </w:rPr>
  </w:style>
  <w:style w:type="character" w:styleId="FootnoteReference">
    <w:name w:val="footnote reference"/>
    <w:basedOn w:val="DefaultParagraphFont"/>
    <w:uiPriority w:val="99"/>
    <w:semiHidden/>
    <w:rPr>
      <w:vertAlign w:val="superscript"/>
    </w:rPr>
  </w:style>
  <w:style w:type="paragraph" w:styleId="Header">
    <w:name w:val="header"/>
    <w:basedOn w:val="Normal"/>
    <w:pPr>
      <w:tabs>
        <w:tab w:val="center" w:pos="4320"/>
        <w:tab w:val="right" w:pos="8640"/>
      </w:tabs>
    </w:pPr>
  </w:style>
  <w:style w:type="paragraph" w:styleId="TOC1">
    <w:name w:val="toc 1"/>
    <w:basedOn w:val="Normal"/>
    <w:next w:val="Normal"/>
    <w:autoRedefine/>
    <w:semiHidden/>
    <w:pPr>
      <w:tabs>
        <w:tab w:val="left" w:pos="0"/>
        <w:tab w:val="left" w:pos="720"/>
        <w:tab w:val="right" w:leader="dot" w:pos="9350"/>
      </w:tabs>
      <w:spacing w:before="240"/>
    </w:pPr>
    <w:rPr>
      <w:b/>
    </w:rPr>
  </w:style>
  <w:style w:type="paragraph" w:styleId="TOC2">
    <w:name w:val="toc 2"/>
    <w:basedOn w:val="Normal"/>
    <w:next w:val="Normal"/>
    <w:autoRedefine/>
    <w:semiHidden/>
    <w:pPr>
      <w:tabs>
        <w:tab w:val="left" w:pos="-1350"/>
        <w:tab w:val="left" w:pos="-270"/>
        <w:tab w:val="right" w:leader="dot" w:pos="9350"/>
      </w:tabs>
      <w:ind w:left="72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EndnoteText">
    <w:name w:val="endnote text"/>
    <w:basedOn w:val="Normal"/>
    <w:semiHidden/>
    <w:rPr>
      <w:rFonts w:ascii="Arial" w:hAnsi="Arial"/>
      <w:sz w:val="20"/>
    </w:rPr>
  </w:style>
  <w:style w:type="character" w:styleId="EndnoteReference">
    <w:name w:val="endnote reference"/>
    <w:basedOn w:val="DefaultParagraphFont"/>
    <w:semiHidden/>
    <w:rPr>
      <w:vertAlign w:val="superscript"/>
    </w:rPr>
  </w:style>
  <w:style w:type="character" w:styleId="FollowedHyperlink">
    <w:name w:val="FollowedHyperlink"/>
    <w:basedOn w:val="DefaultParagraphFont"/>
    <w:rPr>
      <w:color w:val="800080"/>
      <w:u w:val="single"/>
    </w:rPr>
  </w:style>
  <w:style w:type="paragraph" w:styleId="BalloonText">
    <w:name w:val="Balloon Text"/>
    <w:basedOn w:val="Normal"/>
    <w:semiHidden/>
    <w:rPr>
      <w:rFonts w:ascii="Tahoma" w:hAnsi="Tahoma"/>
      <w:sz w:val="16"/>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pPr>
      <w:spacing w:after="120"/>
    </w:pPr>
    <w:rPr>
      <w:sz w:val="16"/>
      <w:szCs w:val="16"/>
    </w:rPr>
  </w:style>
  <w:style w:type="character" w:customStyle="1" w:styleId="Hyperlink18">
    <w:name w:val="Hyperlink18"/>
    <w:basedOn w:val="DefaultParagraphFont"/>
    <w:rPr>
      <w:color w:val="3300CC"/>
      <w:u w:val="single"/>
    </w:rPr>
  </w:style>
  <w:style w:type="character" w:styleId="CommentReference">
    <w:name w:val="annotation reference"/>
    <w:basedOn w:val="DefaultParagraphFont"/>
    <w:semiHidden/>
    <w:rsid w:val="007E74EA"/>
    <w:rPr>
      <w:sz w:val="16"/>
      <w:szCs w:val="16"/>
    </w:rPr>
  </w:style>
  <w:style w:type="paragraph" w:styleId="CommentText">
    <w:name w:val="annotation text"/>
    <w:basedOn w:val="Normal"/>
    <w:semiHidden/>
    <w:rsid w:val="007E74EA"/>
    <w:rPr>
      <w:sz w:val="20"/>
      <w:szCs w:val="20"/>
    </w:rPr>
  </w:style>
  <w:style w:type="paragraph" w:styleId="CommentSubject">
    <w:name w:val="annotation subject"/>
    <w:basedOn w:val="CommentText"/>
    <w:next w:val="CommentText"/>
    <w:semiHidden/>
    <w:rsid w:val="007E74EA"/>
    <w:rPr>
      <w:b/>
      <w:bCs/>
    </w:rPr>
  </w:style>
  <w:style w:type="character" w:customStyle="1" w:styleId="FootnoteTextChar">
    <w:name w:val="Footnote Text Char"/>
    <w:link w:val="FootnoteText"/>
    <w:uiPriority w:val="99"/>
    <w:semiHidden/>
    <w:rsid w:val="00101D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uiPriority w:val="99"/>
    <w:pPr>
      <w:spacing w:before="100" w:beforeAutospacing="1" w:after="100" w:afterAutospacing="1"/>
    </w:pPr>
  </w:style>
  <w:style w:type="paragraph" w:styleId="BodyText">
    <w:name w:val="Body Text"/>
    <w:basedOn w:val="Normal"/>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nonproportionaltextfont">
    <w:name w:val="nonproportionaltextfont"/>
    <w:basedOn w:val="DefaultParagraphFont"/>
    <w:rPr>
      <w:rFonts w:ascii="Courier" w:hAnsi="Courier" w:hint="default"/>
      <w:sz w:val="20"/>
      <w:szCs w:val="20"/>
    </w:rPr>
  </w:style>
  <w:style w:type="paragraph" w:customStyle="1" w:styleId="Normal1">
    <w:name w:val="Normal1"/>
    <w:basedOn w:val="Normal"/>
    <w:pPr>
      <w:spacing w:after="68"/>
      <w:ind w:firstLine="200"/>
    </w:pPr>
    <w:rPr>
      <w:rFonts w:ascii="Verdana" w:hAnsi="Verdana"/>
      <w:color w:val="000000"/>
      <w:sz w:val="16"/>
      <w:szCs w:val="16"/>
    </w:rPr>
  </w:style>
  <w:style w:type="paragraph" w:customStyle="1" w:styleId="pullquote">
    <w:name w:val="pullquote"/>
    <w:basedOn w:val="Normal"/>
    <w:pPr>
      <w:spacing w:after="68"/>
    </w:pPr>
    <w:rPr>
      <w:rFonts w:ascii="Arial" w:hAnsi="Arial" w:cs="Arial"/>
      <w:b/>
      <w:bCs/>
      <w:sz w:val="19"/>
      <w:szCs w:val="19"/>
    </w:rPr>
  </w:style>
  <w:style w:type="paragraph" w:customStyle="1" w:styleId="small">
    <w:name w:val="small"/>
    <w:basedOn w:val="Normal"/>
    <w:pPr>
      <w:spacing w:after="68"/>
    </w:pPr>
    <w:rPr>
      <w:rFonts w:ascii="Verdana" w:hAnsi="Verdana"/>
      <w:color w:val="000000"/>
      <w:sz w:val="14"/>
      <w:szCs w:val="14"/>
    </w:r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styleId="FootnoteText">
    <w:name w:val="footnote text"/>
    <w:basedOn w:val="Normal"/>
    <w:link w:val="FootnoteTextChar"/>
    <w:uiPriority w:val="99"/>
    <w:semiHidden/>
    <w:rPr>
      <w:sz w:val="20"/>
      <w:szCs w:val="20"/>
    </w:rPr>
  </w:style>
  <w:style w:type="character" w:styleId="FootnoteReference">
    <w:name w:val="footnote reference"/>
    <w:basedOn w:val="DefaultParagraphFont"/>
    <w:uiPriority w:val="99"/>
    <w:semiHidden/>
    <w:rPr>
      <w:vertAlign w:val="superscript"/>
    </w:rPr>
  </w:style>
  <w:style w:type="paragraph" w:styleId="Header">
    <w:name w:val="header"/>
    <w:basedOn w:val="Normal"/>
    <w:pPr>
      <w:tabs>
        <w:tab w:val="center" w:pos="4320"/>
        <w:tab w:val="right" w:pos="8640"/>
      </w:tabs>
    </w:pPr>
  </w:style>
  <w:style w:type="paragraph" w:styleId="TOC1">
    <w:name w:val="toc 1"/>
    <w:basedOn w:val="Normal"/>
    <w:next w:val="Normal"/>
    <w:autoRedefine/>
    <w:semiHidden/>
    <w:pPr>
      <w:tabs>
        <w:tab w:val="left" w:pos="0"/>
        <w:tab w:val="left" w:pos="720"/>
        <w:tab w:val="right" w:leader="dot" w:pos="9350"/>
      </w:tabs>
      <w:spacing w:before="240"/>
    </w:pPr>
    <w:rPr>
      <w:b/>
    </w:rPr>
  </w:style>
  <w:style w:type="paragraph" w:styleId="TOC2">
    <w:name w:val="toc 2"/>
    <w:basedOn w:val="Normal"/>
    <w:next w:val="Normal"/>
    <w:autoRedefine/>
    <w:semiHidden/>
    <w:pPr>
      <w:tabs>
        <w:tab w:val="left" w:pos="-1350"/>
        <w:tab w:val="left" w:pos="-270"/>
        <w:tab w:val="right" w:leader="dot" w:pos="9350"/>
      </w:tabs>
      <w:ind w:left="72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EndnoteText">
    <w:name w:val="endnote text"/>
    <w:basedOn w:val="Normal"/>
    <w:semiHidden/>
    <w:rPr>
      <w:rFonts w:ascii="Arial" w:hAnsi="Arial"/>
      <w:sz w:val="20"/>
    </w:rPr>
  </w:style>
  <w:style w:type="character" w:styleId="EndnoteReference">
    <w:name w:val="endnote reference"/>
    <w:basedOn w:val="DefaultParagraphFont"/>
    <w:semiHidden/>
    <w:rPr>
      <w:vertAlign w:val="superscript"/>
    </w:rPr>
  </w:style>
  <w:style w:type="character" w:styleId="FollowedHyperlink">
    <w:name w:val="FollowedHyperlink"/>
    <w:basedOn w:val="DefaultParagraphFont"/>
    <w:rPr>
      <w:color w:val="800080"/>
      <w:u w:val="single"/>
    </w:rPr>
  </w:style>
  <w:style w:type="paragraph" w:styleId="BalloonText">
    <w:name w:val="Balloon Text"/>
    <w:basedOn w:val="Normal"/>
    <w:semiHidden/>
    <w:rPr>
      <w:rFonts w:ascii="Tahoma" w:hAnsi="Tahoma"/>
      <w:sz w:val="16"/>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pPr>
      <w:spacing w:after="120"/>
    </w:pPr>
    <w:rPr>
      <w:sz w:val="16"/>
      <w:szCs w:val="16"/>
    </w:rPr>
  </w:style>
  <w:style w:type="character" w:customStyle="1" w:styleId="Hyperlink18">
    <w:name w:val="Hyperlink18"/>
    <w:basedOn w:val="DefaultParagraphFont"/>
    <w:rPr>
      <w:color w:val="3300CC"/>
      <w:u w:val="single"/>
    </w:rPr>
  </w:style>
  <w:style w:type="character" w:styleId="CommentReference">
    <w:name w:val="annotation reference"/>
    <w:basedOn w:val="DefaultParagraphFont"/>
    <w:semiHidden/>
    <w:rsid w:val="007E74EA"/>
    <w:rPr>
      <w:sz w:val="16"/>
      <w:szCs w:val="16"/>
    </w:rPr>
  </w:style>
  <w:style w:type="paragraph" w:styleId="CommentText">
    <w:name w:val="annotation text"/>
    <w:basedOn w:val="Normal"/>
    <w:semiHidden/>
    <w:rsid w:val="007E74EA"/>
    <w:rPr>
      <w:sz w:val="20"/>
      <w:szCs w:val="20"/>
    </w:rPr>
  </w:style>
  <w:style w:type="paragraph" w:styleId="CommentSubject">
    <w:name w:val="annotation subject"/>
    <w:basedOn w:val="CommentText"/>
    <w:next w:val="CommentText"/>
    <w:semiHidden/>
    <w:rsid w:val="007E74EA"/>
    <w:rPr>
      <w:b/>
      <w:bCs/>
    </w:rPr>
  </w:style>
  <w:style w:type="character" w:customStyle="1" w:styleId="FootnoteTextChar">
    <w:name w:val="Footnote Text Char"/>
    <w:link w:val="FootnoteText"/>
    <w:uiPriority w:val="99"/>
    <w:semiHidden/>
    <w:rsid w:val="00101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70490">
      <w:bodyDiv w:val="1"/>
      <w:marLeft w:val="0"/>
      <w:marRight w:val="0"/>
      <w:marTop w:val="0"/>
      <w:marBottom w:val="0"/>
      <w:divBdr>
        <w:top w:val="none" w:sz="0" w:space="0" w:color="auto"/>
        <w:left w:val="none" w:sz="0" w:space="0" w:color="auto"/>
        <w:bottom w:val="none" w:sz="0" w:space="0" w:color="auto"/>
        <w:right w:val="none" w:sz="0" w:space="0" w:color="auto"/>
      </w:divBdr>
    </w:div>
    <w:div w:id="514803692">
      <w:bodyDiv w:val="1"/>
      <w:marLeft w:val="0"/>
      <w:marRight w:val="0"/>
      <w:marTop w:val="0"/>
      <w:marBottom w:val="0"/>
      <w:divBdr>
        <w:top w:val="none" w:sz="0" w:space="0" w:color="auto"/>
        <w:left w:val="none" w:sz="0" w:space="0" w:color="auto"/>
        <w:bottom w:val="none" w:sz="0" w:space="0" w:color="auto"/>
        <w:right w:val="none" w:sz="0" w:space="0" w:color="auto"/>
      </w:divBdr>
      <w:divsChild>
        <w:div w:id="1705789753">
          <w:marLeft w:val="0"/>
          <w:marRight w:val="0"/>
          <w:marTop w:val="0"/>
          <w:marBottom w:val="0"/>
          <w:divBdr>
            <w:top w:val="none" w:sz="0" w:space="0" w:color="auto"/>
            <w:left w:val="none" w:sz="0" w:space="0" w:color="auto"/>
            <w:bottom w:val="none" w:sz="0" w:space="0" w:color="auto"/>
            <w:right w:val="none" w:sz="0" w:space="0" w:color="auto"/>
          </w:divBdr>
        </w:div>
      </w:divsChild>
    </w:div>
    <w:div w:id="531917345">
      <w:bodyDiv w:val="1"/>
      <w:marLeft w:val="0"/>
      <w:marRight w:val="0"/>
      <w:marTop w:val="0"/>
      <w:marBottom w:val="0"/>
      <w:divBdr>
        <w:top w:val="none" w:sz="0" w:space="0" w:color="auto"/>
        <w:left w:val="none" w:sz="0" w:space="0" w:color="auto"/>
        <w:bottom w:val="none" w:sz="0" w:space="0" w:color="auto"/>
        <w:right w:val="none" w:sz="0" w:space="0" w:color="auto"/>
      </w:divBdr>
    </w:div>
    <w:div w:id="830020804">
      <w:bodyDiv w:val="1"/>
      <w:marLeft w:val="0"/>
      <w:marRight w:val="0"/>
      <w:marTop w:val="0"/>
      <w:marBottom w:val="0"/>
      <w:divBdr>
        <w:top w:val="none" w:sz="0" w:space="0" w:color="auto"/>
        <w:left w:val="none" w:sz="0" w:space="0" w:color="auto"/>
        <w:bottom w:val="none" w:sz="0" w:space="0" w:color="auto"/>
        <w:right w:val="none" w:sz="0" w:space="0" w:color="auto"/>
      </w:divBdr>
    </w:div>
    <w:div w:id="895092794">
      <w:bodyDiv w:val="1"/>
      <w:marLeft w:val="0"/>
      <w:marRight w:val="0"/>
      <w:marTop w:val="0"/>
      <w:marBottom w:val="0"/>
      <w:divBdr>
        <w:top w:val="none" w:sz="0" w:space="0" w:color="auto"/>
        <w:left w:val="none" w:sz="0" w:space="0" w:color="auto"/>
        <w:bottom w:val="none" w:sz="0" w:space="0" w:color="auto"/>
        <w:right w:val="none" w:sz="0" w:space="0" w:color="auto"/>
      </w:divBdr>
    </w:div>
    <w:div w:id="1017999002">
      <w:bodyDiv w:val="1"/>
      <w:marLeft w:val="0"/>
      <w:marRight w:val="0"/>
      <w:marTop w:val="0"/>
      <w:marBottom w:val="0"/>
      <w:divBdr>
        <w:top w:val="none" w:sz="0" w:space="0" w:color="auto"/>
        <w:left w:val="none" w:sz="0" w:space="0" w:color="auto"/>
        <w:bottom w:val="none" w:sz="0" w:space="0" w:color="auto"/>
        <w:right w:val="none" w:sz="0" w:space="0" w:color="auto"/>
      </w:divBdr>
    </w:div>
    <w:div w:id="1341666851">
      <w:bodyDiv w:val="1"/>
      <w:marLeft w:val="0"/>
      <w:marRight w:val="0"/>
      <w:marTop w:val="0"/>
      <w:marBottom w:val="0"/>
      <w:divBdr>
        <w:top w:val="none" w:sz="0" w:space="0" w:color="auto"/>
        <w:left w:val="none" w:sz="0" w:space="0" w:color="auto"/>
        <w:bottom w:val="none" w:sz="0" w:space="0" w:color="auto"/>
        <w:right w:val="none" w:sz="0" w:space="0" w:color="auto"/>
      </w:divBdr>
    </w:div>
    <w:div w:id="1369141003">
      <w:bodyDiv w:val="1"/>
      <w:marLeft w:val="0"/>
      <w:marRight w:val="0"/>
      <w:marTop w:val="0"/>
      <w:marBottom w:val="0"/>
      <w:divBdr>
        <w:top w:val="none" w:sz="0" w:space="0" w:color="auto"/>
        <w:left w:val="none" w:sz="0" w:space="0" w:color="auto"/>
        <w:bottom w:val="none" w:sz="0" w:space="0" w:color="auto"/>
        <w:right w:val="none" w:sz="0" w:space="0" w:color="auto"/>
      </w:divBdr>
    </w:div>
    <w:div w:id="166096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equestassistance@smartgunlaws.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tf.gov/statistics/download/trace-data/international/2007-2011-Mexico-trace-data.pdf" TargetMode="External"/><Relationship Id="rId2" Type="http://schemas.openxmlformats.org/officeDocument/2006/relationships/hyperlink" Target="http://www.washingtonpost.com/wp-dyn/content/article/2011/01/22/AR2011012204243.html" TargetMode="External"/><Relationship Id="rId1" Type="http://schemas.openxmlformats.org/officeDocument/2006/relationships/hyperlink" Target="http://www.sas.upenn.edu/jerrylee/research/aw_final20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4CA95-42B7-4007-B375-9934DC12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2687</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Assault Weapons Report</vt:lpstr>
    </vt:vector>
  </TitlesOfParts>
  <Company>Legal Community Against Violence</Company>
  <LinksUpToDate>false</LinksUpToDate>
  <CharactersWithSpaces>17968</CharactersWithSpaces>
  <SharedDoc>false</SharedDoc>
  <HLinks>
    <vt:vector size="12" baseType="variant">
      <vt:variant>
        <vt:i4>5963895</vt:i4>
      </vt:variant>
      <vt:variant>
        <vt:i4>0</vt:i4>
      </vt:variant>
      <vt:variant>
        <vt:i4>0</vt:i4>
      </vt:variant>
      <vt:variant>
        <vt:i4>5</vt:i4>
      </vt:variant>
      <vt:variant>
        <vt:lpwstr>mailto:stateandlocalbans@lcav.org</vt:lpwstr>
      </vt:variant>
      <vt:variant>
        <vt:lpwstr/>
      </vt:variant>
      <vt:variant>
        <vt:i4>2949231</vt:i4>
      </vt:variant>
      <vt:variant>
        <vt:i4>0</vt:i4>
      </vt:variant>
      <vt:variant>
        <vt:i4>0</vt:i4>
      </vt:variant>
      <vt:variant>
        <vt:i4>5</vt:i4>
      </vt:variant>
      <vt:variant>
        <vt:lpwstr>http://www.csgv.org/issues/assaultweapons/index.cfm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Assault Weapons Report</dc:title>
  <dc:creator>Andrew Spafford</dc:creator>
  <cp:lastModifiedBy>Angela Hartzler</cp:lastModifiedBy>
  <cp:revision>2</cp:revision>
  <cp:lastPrinted>2012-08-23T22:20:00Z</cp:lastPrinted>
  <dcterms:created xsi:type="dcterms:W3CDTF">2012-08-24T16:10:00Z</dcterms:created>
  <dcterms:modified xsi:type="dcterms:W3CDTF">2012-08-24T16:10:00Z</dcterms:modified>
</cp:coreProperties>
</file>