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D8EAF" w14:textId="77777777" w:rsidR="00EB621F" w:rsidRDefault="00EB621F">
      <w:bookmarkStart w:id="0" w:name="_GoBack"/>
      <w:bookmarkEnd w:id="0"/>
    </w:p>
    <w:p w14:paraId="658D0DAD" w14:textId="77777777" w:rsidR="006B6298" w:rsidRDefault="006B6298"/>
    <w:p w14:paraId="6F529F87" w14:textId="7AFB6960" w:rsidR="006B6298" w:rsidRPr="00F26817" w:rsidRDefault="006B6298">
      <w:pPr>
        <w:rPr>
          <w:b/>
        </w:rPr>
      </w:pPr>
      <w:r w:rsidRPr="00F26817">
        <w:rPr>
          <w:b/>
        </w:rPr>
        <w:t xml:space="preserve">IDENTIFING THE </w:t>
      </w:r>
      <w:r w:rsidR="00AB51E1">
        <w:rPr>
          <w:b/>
        </w:rPr>
        <w:t>‘</w:t>
      </w:r>
      <w:r w:rsidRPr="00F26817">
        <w:rPr>
          <w:b/>
        </w:rPr>
        <w:t>PROBLEM</w:t>
      </w:r>
      <w:r w:rsidR="00AB51E1">
        <w:rPr>
          <w:b/>
        </w:rPr>
        <w:t>’</w:t>
      </w:r>
    </w:p>
    <w:p w14:paraId="4FBEFDA5" w14:textId="4D22EEEB" w:rsidR="006B6298" w:rsidRDefault="006B6298" w:rsidP="006B6298">
      <w:pPr>
        <w:pStyle w:val="ListParagraph"/>
        <w:numPr>
          <w:ilvl w:val="0"/>
          <w:numId w:val="1"/>
        </w:numPr>
      </w:pPr>
      <w:r>
        <w:t>Will you rely on objective data or strongly held opinions? The tradition</w:t>
      </w:r>
      <w:r w:rsidR="001D19B7">
        <w:t>al</w:t>
      </w:r>
      <w:r>
        <w:t xml:space="preserve"> approach has </w:t>
      </w:r>
      <w:r w:rsidR="006C6BEC">
        <w:t>been heavily dependent</w:t>
      </w:r>
      <w:r w:rsidR="00EB621F">
        <w:t xml:space="preserve"> on</w:t>
      </w:r>
      <w:r>
        <w:t xml:space="preserve"> the latter.</w:t>
      </w:r>
    </w:p>
    <w:p w14:paraId="10183A02" w14:textId="77777777" w:rsidR="00EB621F" w:rsidRDefault="00EB621F" w:rsidP="00EC7D91">
      <w:pPr>
        <w:pStyle w:val="ListParagraph"/>
      </w:pPr>
    </w:p>
    <w:p w14:paraId="6E4F4015" w14:textId="60F5B101" w:rsidR="006B6298" w:rsidRPr="00F26817" w:rsidRDefault="006B6298" w:rsidP="006B6298">
      <w:pPr>
        <w:rPr>
          <w:b/>
        </w:rPr>
      </w:pPr>
      <w:r w:rsidRPr="00F26817">
        <w:rPr>
          <w:b/>
        </w:rPr>
        <w:t>WHICH FIREARMS W</w:t>
      </w:r>
      <w:r w:rsidR="00F26817">
        <w:rPr>
          <w:b/>
        </w:rPr>
        <w:t>OULD</w:t>
      </w:r>
      <w:r w:rsidRPr="00F26817">
        <w:rPr>
          <w:b/>
        </w:rPr>
        <w:t xml:space="preserve"> BE DECLARED “ASSAULT WEAPONS?</w:t>
      </w:r>
    </w:p>
    <w:p w14:paraId="71C62B09" w14:textId="51E291FF" w:rsidR="006B6298" w:rsidRDefault="006B6298" w:rsidP="005A0D5F">
      <w:pPr>
        <w:pStyle w:val="ListParagraph"/>
        <w:numPr>
          <w:ilvl w:val="0"/>
          <w:numId w:val="1"/>
        </w:numPr>
      </w:pPr>
      <w:r>
        <w:t>“Assault weapon” is a term of political art. It does not define a specific class of firearms. Generally, so</w:t>
      </w:r>
      <w:r w:rsidR="0051777C">
        <w:t>-</w:t>
      </w:r>
      <w:r>
        <w:t>called “assault weapons” are semiautomatic, center</w:t>
      </w:r>
      <w:r w:rsidR="004C587D">
        <w:t xml:space="preserve"> </w:t>
      </w:r>
      <w:r>
        <w:t xml:space="preserve">fire and use a detachable magazine. However, </w:t>
      </w:r>
      <w:r w:rsidR="00EB621F">
        <w:t>control proponents like California’s Senator Diane F</w:t>
      </w:r>
      <w:r w:rsidR="005A0D5F">
        <w:t>ein</w:t>
      </w:r>
      <w:r w:rsidR="00EB621F">
        <w:t xml:space="preserve">stein want to include pump-action firearms </w:t>
      </w:r>
      <w:r w:rsidR="006524B9">
        <w:t>in future “assault weapon” restrictions</w:t>
      </w:r>
      <w:r w:rsidR="00EB621F">
        <w:t>.</w:t>
      </w:r>
    </w:p>
    <w:p w14:paraId="643F3DF9" w14:textId="77777777" w:rsidR="00EC7D91" w:rsidRDefault="00EC7D91" w:rsidP="00EC7D91">
      <w:pPr>
        <w:pStyle w:val="ListParagraph"/>
      </w:pPr>
    </w:p>
    <w:p w14:paraId="17F8A829" w14:textId="44AAF433" w:rsidR="005A0D5F" w:rsidRDefault="005A0D5F" w:rsidP="005A0D5F">
      <w:pPr>
        <w:pStyle w:val="ListParagraph"/>
        <w:numPr>
          <w:ilvl w:val="0"/>
          <w:numId w:val="1"/>
        </w:numPr>
      </w:pPr>
      <w:r>
        <w:t xml:space="preserve">The California </w:t>
      </w:r>
      <w:r w:rsidR="00F01A21">
        <w:t>“assault weapon” definition has been a 27-year work-in-progress.</w:t>
      </w:r>
      <w:r>
        <w:t xml:space="preserve"> It began with AB 1509 (Agnos) in 1985 and has continued through August</w:t>
      </w:r>
      <w:r w:rsidR="003B5358">
        <w:t xml:space="preserve"> 16</w:t>
      </w:r>
      <w:r>
        <w:t xml:space="preserve"> of this year when SB 249 (Yee) failed in the California Assembly. SB</w:t>
      </w:r>
      <w:r w:rsidR="003B5358">
        <w:t xml:space="preserve"> 249 would have increased the scope of California’s definition </w:t>
      </w:r>
      <w:r w:rsidR="00F01A21">
        <w:t>to include</w:t>
      </w:r>
      <w:r w:rsidR="003B5358">
        <w:t xml:space="preserve"> at least one million</w:t>
      </w:r>
      <w:r w:rsidR="00F01A21">
        <w:t xml:space="preserve"> additional privately owned</w:t>
      </w:r>
      <w:r w:rsidR="003B5358">
        <w:t xml:space="preserve"> firearms.</w:t>
      </w:r>
    </w:p>
    <w:p w14:paraId="69395697" w14:textId="77777777" w:rsidR="00EC7D91" w:rsidRDefault="00EC7D91" w:rsidP="0051777C"/>
    <w:p w14:paraId="4E30DB66" w14:textId="6761459A" w:rsidR="003B5358" w:rsidRDefault="003B5358" w:rsidP="005A0D5F">
      <w:pPr>
        <w:pStyle w:val="ListParagraph"/>
        <w:numPr>
          <w:ilvl w:val="0"/>
          <w:numId w:val="1"/>
        </w:numPr>
      </w:pPr>
      <w:r>
        <w:t>Unless you</w:t>
      </w:r>
      <w:r w:rsidR="008E72FB">
        <w:t>’re willing to</w:t>
      </w:r>
      <w:r>
        <w:t xml:space="preserve"> declare all semiautomatic firearms “assault weapons,” you </w:t>
      </w:r>
      <w:r w:rsidR="00617C1F">
        <w:t>must</w:t>
      </w:r>
      <w:r>
        <w:t xml:space="preserve"> make </w:t>
      </w:r>
      <w:r w:rsidR="006524B9">
        <w:t xml:space="preserve">clear </w:t>
      </w:r>
      <w:r>
        <w:t>distinctions between them. California’s evolving approach is based on distinctions that have included make, model, country</w:t>
      </w:r>
      <w:r w:rsidR="006524B9">
        <w:t>-</w:t>
      </w:r>
      <w:r>
        <w:t>of</w:t>
      </w:r>
      <w:r w:rsidR="006524B9">
        <w:t>-</w:t>
      </w:r>
      <w:r>
        <w:t>origin</w:t>
      </w:r>
      <w:r w:rsidR="006524B9">
        <w:t>, stock design</w:t>
      </w:r>
      <w:r>
        <w:t xml:space="preserve"> and </w:t>
      </w:r>
      <w:r w:rsidR="006524B9">
        <w:t xml:space="preserve">readily removable </w:t>
      </w:r>
      <w:r>
        <w:t xml:space="preserve">accessories. This was also the approach </w:t>
      </w:r>
      <w:r w:rsidR="00254586">
        <w:t>taken in</w:t>
      </w:r>
      <w:r>
        <w:t xml:space="preserve"> the </w:t>
      </w:r>
      <w:r w:rsidR="00254586">
        <w:t>federal assault weapon law.</w:t>
      </w:r>
      <w:r w:rsidR="006C6BEC">
        <w:t xml:space="preserve"> See attached pictures.</w:t>
      </w:r>
    </w:p>
    <w:p w14:paraId="79E56A6E" w14:textId="77777777" w:rsidR="006524B9" w:rsidRDefault="006524B9" w:rsidP="006524B9"/>
    <w:p w14:paraId="191FF422" w14:textId="40E712D4" w:rsidR="006524B9" w:rsidRDefault="006524B9" w:rsidP="005A0D5F">
      <w:pPr>
        <w:pStyle w:val="ListParagraph"/>
        <w:numPr>
          <w:ilvl w:val="0"/>
          <w:numId w:val="1"/>
        </w:numPr>
      </w:pPr>
      <w:r>
        <w:t xml:space="preserve">Words have meaning. The proponents of </w:t>
      </w:r>
      <w:r w:rsidR="006C6BEC">
        <w:t>“assault weapon bans”</w:t>
      </w:r>
      <w:r>
        <w:t xml:space="preserve"> routinely conflate key descriptions including “assault rifle” and “assault weapon.” Assault rifles are part of a class of firearms that have been closely regulated by federal law since 1934. </w:t>
      </w:r>
      <w:r w:rsidR="00F26817">
        <w:t>An “assault weapon” may look like an assault rifle but operates differently.</w:t>
      </w:r>
    </w:p>
    <w:p w14:paraId="53537904" w14:textId="77777777" w:rsidR="00EC7D91" w:rsidRDefault="00EC7D91" w:rsidP="00EC7D91">
      <w:pPr>
        <w:pStyle w:val="ListParagraph"/>
      </w:pPr>
    </w:p>
    <w:p w14:paraId="5ED3D5F7" w14:textId="68A6C47D" w:rsidR="00254586" w:rsidRDefault="00254586" w:rsidP="005A0D5F">
      <w:pPr>
        <w:pStyle w:val="ListParagraph"/>
        <w:numPr>
          <w:ilvl w:val="0"/>
          <w:numId w:val="1"/>
        </w:numPr>
      </w:pPr>
      <w:r>
        <w:t xml:space="preserve">A decision to use objective data to define the ‘problem’ will </w:t>
      </w:r>
      <w:r w:rsidR="00EC7D91">
        <w:t xml:space="preserve">first </w:t>
      </w:r>
      <w:r>
        <w:t xml:space="preserve">require </w:t>
      </w:r>
      <w:r w:rsidR="00EC7D91">
        <w:t xml:space="preserve">a </w:t>
      </w:r>
      <w:r w:rsidR="006524B9">
        <w:t xml:space="preserve">precise </w:t>
      </w:r>
      <w:r w:rsidR="00EC7D91">
        <w:t>definition of</w:t>
      </w:r>
      <w:r>
        <w:t xml:space="preserve"> what constitutes an “assault weapon</w:t>
      </w:r>
      <w:r w:rsidR="00EC7D91">
        <w:t>.</w:t>
      </w:r>
      <w:r>
        <w:t xml:space="preserve">” </w:t>
      </w:r>
    </w:p>
    <w:p w14:paraId="09B54633" w14:textId="77777777" w:rsidR="003B5358" w:rsidRDefault="003B5358" w:rsidP="003B5358">
      <w:pPr>
        <w:ind w:left="360"/>
      </w:pPr>
    </w:p>
    <w:p w14:paraId="48E47F92" w14:textId="05CCE49F" w:rsidR="00F26817" w:rsidRDefault="00AB51E1" w:rsidP="008B074A">
      <w:pPr>
        <w:rPr>
          <w:b/>
        </w:rPr>
      </w:pPr>
      <w:r>
        <w:rPr>
          <w:b/>
        </w:rPr>
        <w:t>WHAT</w:t>
      </w:r>
      <w:r w:rsidR="00F26817" w:rsidRPr="00F26817">
        <w:rPr>
          <w:b/>
        </w:rPr>
        <w:t xml:space="preserve"> WOULD YOU </w:t>
      </w:r>
      <w:r>
        <w:rPr>
          <w:b/>
        </w:rPr>
        <w:t>DO</w:t>
      </w:r>
      <w:r w:rsidR="00F26817" w:rsidRPr="00F26817">
        <w:rPr>
          <w:b/>
        </w:rPr>
        <w:t xml:space="preserve"> TO SOLVE THE </w:t>
      </w:r>
      <w:r w:rsidR="00F26817">
        <w:rPr>
          <w:b/>
        </w:rPr>
        <w:t>‘</w:t>
      </w:r>
      <w:r>
        <w:rPr>
          <w:b/>
        </w:rPr>
        <w:t>PROBLEM</w:t>
      </w:r>
      <w:r w:rsidR="00F26817" w:rsidRPr="00F26817">
        <w:rPr>
          <w:b/>
        </w:rPr>
        <w:t>’</w:t>
      </w:r>
      <w:r>
        <w:rPr>
          <w:b/>
        </w:rPr>
        <w:t>?</w:t>
      </w:r>
    </w:p>
    <w:p w14:paraId="00FEE4ED" w14:textId="1AF7D785" w:rsidR="00F26817" w:rsidRDefault="00F26817" w:rsidP="00F26817">
      <w:pPr>
        <w:pStyle w:val="ListParagraph"/>
        <w:numPr>
          <w:ilvl w:val="0"/>
          <w:numId w:val="1"/>
        </w:numPr>
      </w:pPr>
      <w:r w:rsidRPr="00F26817">
        <w:t>Make it a crime to possess a firearm that falls under the new definition?</w:t>
      </w:r>
    </w:p>
    <w:p w14:paraId="66B28D90" w14:textId="77777777" w:rsidR="006C6BEC" w:rsidRDefault="006C6BEC" w:rsidP="006C6BEC">
      <w:pPr>
        <w:pStyle w:val="ListParagraph"/>
      </w:pPr>
    </w:p>
    <w:p w14:paraId="2E160045" w14:textId="206B6C40" w:rsidR="00F26817" w:rsidRPr="00F26817" w:rsidRDefault="00F26817" w:rsidP="00F26817">
      <w:pPr>
        <w:pStyle w:val="ListParagraph"/>
        <w:numPr>
          <w:ilvl w:val="0"/>
          <w:numId w:val="1"/>
        </w:numPr>
      </w:pPr>
      <w:r>
        <w:t>Require confiscation of any “assault weapon” not voluntarily surrendered or destroyed? Will the state reimburse owners for confiscated/destroyed firearms?</w:t>
      </w:r>
    </w:p>
    <w:p w14:paraId="1D151901" w14:textId="77777777" w:rsidR="00F26817" w:rsidRPr="00F26817" w:rsidRDefault="00F26817" w:rsidP="00F26817">
      <w:pPr>
        <w:ind w:left="360"/>
      </w:pPr>
    </w:p>
    <w:p w14:paraId="3579C142" w14:textId="54248779" w:rsidR="00F26817" w:rsidRDefault="006C6BEC" w:rsidP="00F26817">
      <w:pPr>
        <w:pStyle w:val="ListParagraph"/>
        <w:numPr>
          <w:ilvl w:val="0"/>
          <w:numId w:val="1"/>
        </w:numPr>
      </w:pPr>
      <w:r>
        <w:t>Create a state licensing program and impose a fee (tax) to implement and maintain the program?</w:t>
      </w:r>
      <w:r w:rsidR="00AB51E1">
        <w:t xml:space="preserve"> Who would be exempt?</w:t>
      </w:r>
    </w:p>
    <w:p w14:paraId="63572B45" w14:textId="77777777" w:rsidR="006C6BEC" w:rsidRDefault="006C6BEC" w:rsidP="006C6BEC"/>
    <w:p w14:paraId="17F54F8F" w14:textId="537FC9D2" w:rsidR="006C6BEC" w:rsidRDefault="006C6BEC" w:rsidP="00F26817">
      <w:pPr>
        <w:pStyle w:val="ListParagraph"/>
        <w:numPr>
          <w:ilvl w:val="0"/>
          <w:numId w:val="1"/>
        </w:numPr>
      </w:pPr>
      <w:r>
        <w:t xml:space="preserve">Restrict future sales and ‘grandfather’ current owners. If this </w:t>
      </w:r>
      <w:r w:rsidR="00AB51E1">
        <w:t>was</w:t>
      </w:r>
      <w:r>
        <w:t xml:space="preserve"> the approach, could such firearms be transferred by inheritance or brought into the state by new residents?</w:t>
      </w:r>
    </w:p>
    <w:p w14:paraId="502D4489" w14:textId="77777777" w:rsidR="006C6BEC" w:rsidRDefault="006C6BEC" w:rsidP="006C6BEC"/>
    <w:p w14:paraId="4431FF8E" w14:textId="36111878" w:rsidR="00EC7D91" w:rsidRDefault="00EC7D91" w:rsidP="0051777C"/>
    <w:p w14:paraId="3479AF49" w14:textId="77777777" w:rsidR="00EA1343" w:rsidRDefault="00EA1343"/>
    <w:sectPr w:rsidR="00EA1343" w:rsidSect="00EA134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1F33"/>
    <w:multiLevelType w:val="hybridMultilevel"/>
    <w:tmpl w:val="FC388BBC"/>
    <w:lvl w:ilvl="0" w:tplc="055606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43"/>
    <w:rsid w:val="001D19B7"/>
    <w:rsid w:val="001F5E54"/>
    <w:rsid w:val="00254586"/>
    <w:rsid w:val="003B5358"/>
    <w:rsid w:val="004C587D"/>
    <w:rsid w:val="0051777C"/>
    <w:rsid w:val="005A0D5F"/>
    <w:rsid w:val="005B60D2"/>
    <w:rsid w:val="00617C1F"/>
    <w:rsid w:val="006524B9"/>
    <w:rsid w:val="006B6298"/>
    <w:rsid w:val="006C6BEC"/>
    <w:rsid w:val="008B074A"/>
    <w:rsid w:val="008E72FB"/>
    <w:rsid w:val="0092474F"/>
    <w:rsid w:val="00933047"/>
    <w:rsid w:val="00A00D51"/>
    <w:rsid w:val="00AB51E1"/>
    <w:rsid w:val="00D62D4B"/>
    <w:rsid w:val="00DA585C"/>
    <w:rsid w:val="00DD7FBE"/>
    <w:rsid w:val="00E939B1"/>
    <w:rsid w:val="00EA1343"/>
    <w:rsid w:val="00EB621F"/>
    <w:rsid w:val="00EC7D91"/>
    <w:rsid w:val="00F01A21"/>
    <w:rsid w:val="00F26817"/>
    <w:rsid w:val="00F8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A124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D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D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Counsel Bureau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Helsley</dc:creator>
  <cp:lastModifiedBy>Angela Hartzler</cp:lastModifiedBy>
  <cp:revision>2</cp:revision>
  <cp:lastPrinted>2012-08-22T03:07:00Z</cp:lastPrinted>
  <dcterms:created xsi:type="dcterms:W3CDTF">2012-08-22T19:25:00Z</dcterms:created>
  <dcterms:modified xsi:type="dcterms:W3CDTF">2012-08-22T19:25:00Z</dcterms:modified>
</cp:coreProperties>
</file>